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EF1E3C">
        <w:t>September 1</w:t>
      </w:r>
      <w:r>
        <w:t>, 201</w:t>
      </w:r>
      <w:r w:rsidR="00DD0C00">
        <w:t>5</w:t>
      </w:r>
      <w:r w:rsidRPr="00553FE0">
        <w:t xml:space="preserve"> at </w:t>
      </w:r>
      <w:r>
        <w:t>8:30</w:t>
      </w:r>
      <w:r w:rsidRPr="00553FE0">
        <w:t xml:space="preserve"> </w:t>
      </w:r>
      <w:r>
        <w:t>a</w:t>
      </w:r>
      <w:r w:rsidRPr="00553FE0">
        <w:t xml:space="preserve">.m. as per notice in the York News Times on </w:t>
      </w:r>
      <w:r w:rsidR="00A915DB">
        <w:t xml:space="preserve">August </w:t>
      </w:r>
      <w:r w:rsidR="00EF1E3C">
        <w:t>27</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w:t>
      </w:r>
      <w:r w:rsidR="00385344">
        <w:t xml:space="preserve"> </w:t>
      </w:r>
      <w:r w:rsidR="005C6B1D">
        <w:t>Kelly, Turner County Clerk</w:t>
      </w:r>
      <w:r w:rsidR="00DD0C00">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385344">
        <w:t xml:space="preserve"> Bulgrin</w:t>
      </w:r>
      <w:r w:rsidR="00465F7E">
        <w:t xml:space="preserve">, </w:t>
      </w:r>
      <w:r w:rsidRPr="00553FE0">
        <w:t>seconded by</w:t>
      </w:r>
      <w:r w:rsidR="00385344">
        <w:t xml:space="preserve"> Sikes</w:t>
      </w:r>
      <w:r w:rsidR="00465F7E">
        <w:t xml:space="preserve">, </w:t>
      </w:r>
      <w:r w:rsidRPr="00553FE0">
        <w:t>to approve the minutes of the</w:t>
      </w:r>
      <w:r>
        <w:t xml:space="preserve"> </w:t>
      </w:r>
      <w:r w:rsidR="00A915DB">
        <w:t xml:space="preserve">August </w:t>
      </w:r>
      <w:r w:rsidR="00EF1E3C">
        <w:t>18</w:t>
      </w:r>
      <w:r>
        <w:t>, 201</w:t>
      </w:r>
      <w:r w:rsidR="004B3244">
        <w:t>5</w:t>
      </w:r>
      <w:r>
        <w:t xml:space="preserve">, </w:t>
      </w:r>
      <w:r w:rsidRPr="00553FE0">
        <w:t>Board of Commissioners meeting</w:t>
      </w:r>
      <w:r w:rsidR="004203EC">
        <w:t>;</w:t>
      </w:r>
      <w:r w:rsidR="00385344">
        <w:t xml:space="preserve"> with the change to add to the minutes that the Public Hearing was closed at 11:02 a.m.,</w:t>
      </w:r>
      <w:r w:rsidR="00286CDE">
        <w:t xml:space="preserve"> roll call; yeas, </w:t>
      </w:r>
      <w:r w:rsidR="00385344">
        <w:t>Bulgrin, Sikes, Obermier, Buller</w:t>
      </w:r>
      <w:r w:rsidR="00672F1C">
        <w:t xml:space="preserve"> </w:t>
      </w:r>
      <w:r>
        <w:t>and Bamesberger; nays none, motion carried</w:t>
      </w:r>
    </w:p>
    <w:p w:rsidR="000B67B5" w:rsidRPr="00553FE0" w:rsidRDefault="000B67B5" w:rsidP="000B67B5">
      <w:pPr>
        <w:ind w:left="0"/>
      </w:pPr>
    </w:p>
    <w:p w:rsidR="00672F1C" w:rsidRDefault="000B67B5" w:rsidP="000B67B5">
      <w:pPr>
        <w:ind w:left="0"/>
      </w:pPr>
      <w:r>
        <w:t>Moved by</w:t>
      </w:r>
      <w:r w:rsidR="00385344">
        <w:t xml:space="preserve"> Obermier</w:t>
      </w:r>
      <w:r>
        <w:t>, seconded by</w:t>
      </w:r>
      <w:r w:rsidR="00385344">
        <w:t xml:space="preserve"> Bulgrin</w:t>
      </w:r>
      <w:r w:rsidR="00286CDE">
        <w:t>,</w:t>
      </w:r>
      <w:r w:rsidR="00672F1C">
        <w:t xml:space="preserve"> </w:t>
      </w:r>
      <w:r>
        <w:t xml:space="preserve">to adopt the agenda for Tuesday, </w:t>
      </w:r>
      <w:r w:rsidR="00EF1E3C">
        <w:t>September 1</w:t>
      </w:r>
      <w:r>
        <w:t>,</w:t>
      </w:r>
      <w:r w:rsidR="00286CDE">
        <w:t xml:space="preserve"> 2015</w:t>
      </w:r>
      <w:r>
        <w:t>; roll call: yeas</w:t>
      </w:r>
      <w:r w:rsidR="00F80966">
        <w:t>,</w:t>
      </w:r>
      <w:r w:rsidR="00415E13">
        <w:t xml:space="preserve"> </w:t>
      </w:r>
      <w:r w:rsidR="00385344">
        <w:t>Obermier, Bulgrin, Buller, Sikes</w:t>
      </w:r>
      <w:r w:rsidR="00D30ED0">
        <w:t xml:space="preserve"> </w:t>
      </w:r>
      <w:r w:rsidR="00D73500">
        <w:t xml:space="preserve">and </w:t>
      </w:r>
      <w:r>
        <w:t>Bamesberger; nays, none; motion carried.</w:t>
      </w:r>
    </w:p>
    <w:p w:rsidR="00415E13" w:rsidRDefault="00415E13" w:rsidP="000B67B5">
      <w:pPr>
        <w:ind w:left="0"/>
      </w:pPr>
    </w:p>
    <w:p w:rsidR="00F67E41" w:rsidRDefault="00F67E41" w:rsidP="000B67B5">
      <w:pPr>
        <w:ind w:left="0"/>
      </w:pPr>
      <w:r>
        <w:t>Harvey Keim Highway Superintendent met with the Board with updates on the Road Department.</w:t>
      </w:r>
    </w:p>
    <w:p w:rsidR="008174D0" w:rsidRDefault="008174D0" w:rsidP="000B67B5">
      <w:pPr>
        <w:ind w:left="0"/>
      </w:pPr>
    </w:p>
    <w:p w:rsidR="008174D0" w:rsidRDefault="008174D0" w:rsidP="008174D0">
      <w:pPr>
        <w:ind w:left="0"/>
        <w:rPr>
          <w:b/>
          <w:u w:val="single"/>
        </w:rPr>
      </w:pPr>
      <w:r w:rsidRPr="00C637AB">
        <w:rPr>
          <w:b/>
          <w:u w:val="single"/>
        </w:rPr>
        <w:t>GENERAL ASSISTANCE</w:t>
      </w:r>
      <w:r>
        <w:rPr>
          <w:b/>
          <w:u w:val="single"/>
        </w:rPr>
        <w:t>:</w:t>
      </w:r>
    </w:p>
    <w:p w:rsidR="008174D0" w:rsidRDefault="008174D0" w:rsidP="008174D0">
      <w:pPr>
        <w:ind w:left="0"/>
      </w:pPr>
      <w:r>
        <w:t>There were no General Assistance to come before the Board.</w:t>
      </w:r>
    </w:p>
    <w:p w:rsidR="003F1B73" w:rsidRDefault="003F1B73" w:rsidP="000B67B5">
      <w:pPr>
        <w:ind w:left="0"/>
      </w:pPr>
    </w:p>
    <w:p w:rsidR="00090154" w:rsidRDefault="00090154" w:rsidP="00090154">
      <w:pPr>
        <w:ind w:left="0"/>
      </w:pPr>
      <w:r>
        <w:t>Moved by Bulgrin, seconded by Buller , to go into Executive Session at 8:37 a.m. to discuss personnel</w:t>
      </w:r>
      <w:r w:rsidR="00FF04E4">
        <w:t xml:space="preserve"> issues</w:t>
      </w:r>
      <w:r>
        <w:t xml:space="preserve">; roll call: yeas, Bulgrin, Buller, Obermier, Sikes, and Bamesberger; nays, none; motion carried.  </w:t>
      </w:r>
    </w:p>
    <w:p w:rsidR="00090154" w:rsidRDefault="00090154" w:rsidP="00090154">
      <w:pPr>
        <w:ind w:left="0"/>
      </w:pPr>
    </w:p>
    <w:p w:rsidR="003F1B73" w:rsidRDefault="00090154" w:rsidP="000B67B5">
      <w:pPr>
        <w:ind w:left="0"/>
      </w:pPr>
      <w:r>
        <w:t>Moved by Buller, seconded by Obermier, to come out of Executive Session at 8:55 a.m. where no action  was taken; roll call: yeas, Buller, Obermier, Bulgrin, Sikes, Buller and Bamesberger; nays, none, motion carried.</w:t>
      </w:r>
    </w:p>
    <w:p w:rsidR="00090154" w:rsidRDefault="00090154" w:rsidP="000B67B5">
      <w:pPr>
        <w:ind w:left="0"/>
      </w:pPr>
    </w:p>
    <w:p w:rsidR="00090154" w:rsidRDefault="00090154" w:rsidP="00090154">
      <w:pPr>
        <w:ind w:left="0"/>
      </w:pPr>
      <w:r>
        <w:t>Moved by</w:t>
      </w:r>
      <w:r w:rsidR="00FF04E4">
        <w:t xml:space="preserve"> Bulgrin, seconded by Buller to take</w:t>
      </w:r>
      <w:r>
        <w:t xml:space="preserve"> $10,000.00 out of the Inheritance Tax Fund for the funding of the County Wide Housing Study, roll call; yeas, Bulgrin, Buller, Obermier, Sikes and Bamesberger, nays none, motion carried.</w:t>
      </w:r>
    </w:p>
    <w:p w:rsidR="00090154" w:rsidRDefault="00090154" w:rsidP="00090154">
      <w:pPr>
        <w:ind w:left="0"/>
      </w:pPr>
    </w:p>
    <w:p w:rsidR="00090154" w:rsidRDefault="00090154" w:rsidP="00090154">
      <w:pPr>
        <w:ind w:left="0"/>
      </w:pPr>
      <w:r>
        <w:t>Moved by Obermier, seconded by Sikes to take $5,000.00 out of the Inheritance Tax Fund for the funding of the 4 Lane 4 Nebraska Study, roll call; yeas,</w:t>
      </w:r>
      <w:r w:rsidR="00BF2CCC">
        <w:t xml:space="preserve"> Obermier, Sikes, Buller, Bulgrin</w:t>
      </w:r>
      <w:r>
        <w:t xml:space="preserve"> and Bamesberger, nays none, motion carried.</w:t>
      </w:r>
    </w:p>
    <w:p w:rsidR="00BF2CCC" w:rsidRDefault="00BF2CCC" w:rsidP="00090154">
      <w:pPr>
        <w:ind w:left="0"/>
      </w:pPr>
    </w:p>
    <w:p w:rsidR="00BF2CCC" w:rsidRDefault="00BF2CCC" w:rsidP="00BF2CCC">
      <w:pPr>
        <w:ind w:left="0"/>
      </w:pPr>
      <w:r>
        <w:t>On or before August 1</w:t>
      </w:r>
      <w:r w:rsidRPr="0036756B">
        <w:rPr>
          <w:vertAlign w:val="superscript"/>
        </w:rPr>
        <w:t>st</w:t>
      </w:r>
      <w:r>
        <w:t>, all political subdivisions subject to county levy authority under levy limits must submit a preliminary request for levy allocation.  Based on those requests, the Board then must allocate a preliminary levy for those subdivisions.</w:t>
      </w:r>
    </w:p>
    <w:p w:rsidR="00BF2CCC" w:rsidRDefault="00BF2CCC" w:rsidP="00BF2CCC">
      <w:pPr>
        <w:ind w:left="0"/>
      </w:pPr>
    </w:p>
    <w:p w:rsidR="00BF2CCC" w:rsidRDefault="00BF2CCC" w:rsidP="00BF2CCC">
      <w:pPr>
        <w:ind w:left="0"/>
      </w:pPr>
      <w:r>
        <w:t>Moved by Bulgrin, seconded by Sikes,  to adopt Resolution #15-57 in setting preliminary levies for the various subdivisions; roll call: yeas, Bulgrin, Sikes, Obermier, Buller and Bamesberger, nays none, motion carried.</w:t>
      </w:r>
    </w:p>
    <w:p w:rsidR="00090154" w:rsidRDefault="00090154" w:rsidP="00090154">
      <w:pPr>
        <w:ind w:left="0"/>
      </w:pPr>
    </w:p>
    <w:p w:rsidR="00335CAF" w:rsidRDefault="00335CAF" w:rsidP="00335CAF">
      <w:pPr>
        <w:tabs>
          <w:tab w:val="left" w:pos="720"/>
          <w:tab w:val="left" w:pos="1440"/>
          <w:tab w:val="decimal" w:pos="7920"/>
          <w:tab w:val="decimal" w:pos="9360"/>
        </w:tabs>
        <w:ind w:firstLine="936"/>
        <w:jc w:val="center"/>
        <w:rPr>
          <w:b/>
        </w:rPr>
      </w:pPr>
      <w:r>
        <w:rPr>
          <w:b/>
        </w:rPr>
        <w:t>RESOLUTION #15-57</w:t>
      </w:r>
    </w:p>
    <w:p w:rsidR="00335CAF" w:rsidRDefault="00335CAF" w:rsidP="00335CAF">
      <w:pPr>
        <w:tabs>
          <w:tab w:val="left" w:pos="720"/>
          <w:tab w:val="left" w:pos="1440"/>
          <w:tab w:val="decimal" w:pos="7920"/>
          <w:tab w:val="decimal" w:pos="9360"/>
        </w:tabs>
        <w:ind w:firstLine="936"/>
        <w:jc w:val="center"/>
        <w:rPr>
          <w:b/>
        </w:rPr>
      </w:pPr>
    </w:p>
    <w:p w:rsidR="00335CAF" w:rsidRDefault="00335CAF" w:rsidP="00335CAF">
      <w:pPr>
        <w:tabs>
          <w:tab w:val="left" w:pos="720"/>
          <w:tab w:val="left" w:pos="1440"/>
          <w:tab w:val="decimal" w:pos="7920"/>
          <w:tab w:val="decimal" w:pos="9360"/>
        </w:tabs>
        <w:ind w:firstLine="936"/>
      </w:pPr>
      <w:r>
        <w:rPr>
          <w:b/>
        </w:rPr>
        <w:t xml:space="preserve">WHEREAS, </w:t>
      </w:r>
      <w:r>
        <w:t>Nebraska State Statute 77-3443 (3) requires all political subdivisions subject to county levy authority to submit a preliminary request for levy allocation; and</w:t>
      </w:r>
    </w:p>
    <w:p w:rsidR="00335CAF" w:rsidRDefault="00335CAF" w:rsidP="00335CAF">
      <w:pPr>
        <w:tabs>
          <w:tab w:val="left" w:pos="720"/>
          <w:tab w:val="left" w:pos="1440"/>
          <w:tab w:val="decimal" w:pos="7920"/>
          <w:tab w:val="decimal" w:pos="9360"/>
        </w:tabs>
        <w:ind w:firstLine="936"/>
      </w:pPr>
    </w:p>
    <w:p w:rsidR="00335CAF" w:rsidRDefault="00335CAF" w:rsidP="00335CAF">
      <w:pPr>
        <w:tabs>
          <w:tab w:val="left" w:pos="720"/>
          <w:tab w:val="left" w:pos="1440"/>
          <w:tab w:val="decimal" w:pos="7920"/>
          <w:tab w:val="decimal" w:pos="9360"/>
        </w:tabs>
        <w:ind w:firstLine="936"/>
      </w:pPr>
      <w:r>
        <w:rPr>
          <w:b/>
        </w:rPr>
        <w:t xml:space="preserve">WHEREAS, </w:t>
      </w:r>
      <w:r>
        <w:t>the political subdivisions that are subject to York County Levy authority are agricultural society, historical society, rural fire districts and cemetery districts; and</w:t>
      </w:r>
    </w:p>
    <w:p w:rsidR="00335CAF" w:rsidRDefault="00335CAF" w:rsidP="00335CAF">
      <w:pPr>
        <w:tabs>
          <w:tab w:val="left" w:pos="720"/>
          <w:tab w:val="left" w:pos="1440"/>
          <w:tab w:val="decimal" w:pos="7920"/>
          <w:tab w:val="decimal" w:pos="9360"/>
        </w:tabs>
        <w:ind w:firstLine="936"/>
      </w:pPr>
    </w:p>
    <w:p w:rsidR="00335CAF" w:rsidRDefault="00335CAF" w:rsidP="00335CAF">
      <w:pPr>
        <w:tabs>
          <w:tab w:val="left" w:pos="720"/>
          <w:tab w:val="left" w:pos="1440"/>
          <w:tab w:val="decimal" w:pos="7920"/>
          <w:tab w:val="decimal" w:pos="9360"/>
        </w:tabs>
        <w:ind w:firstLine="936"/>
      </w:pPr>
      <w:r>
        <w:rPr>
          <w:b/>
        </w:rPr>
        <w:t xml:space="preserve">WHEREAS, </w:t>
      </w:r>
      <w:r>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rsidR="00335CAF" w:rsidRDefault="00335CAF" w:rsidP="00335CAF">
      <w:pPr>
        <w:tabs>
          <w:tab w:val="left" w:pos="720"/>
          <w:tab w:val="left" w:pos="1440"/>
          <w:tab w:val="decimal" w:pos="7920"/>
          <w:tab w:val="decimal" w:pos="9360"/>
        </w:tabs>
        <w:ind w:firstLine="936"/>
      </w:pPr>
    </w:p>
    <w:p w:rsidR="00335CAF" w:rsidRDefault="00335CAF" w:rsidP="00335CAF">
      <w:pPr>
        <w:tabs>
          <w:tab w:val="left" w:pos="720"/>
          <w:tab w:val="left" w:pos="1440"/>
          <w:tab w:val="decimal" w:pos="7920"/>
          <w:tab w:val="decimal" w:pos="9360"/>
        </w:tabs>
        <w:ind w:firstLine="936"/>
      </w:pPr>
      <w:r>
        <w:rPr>
          <w:b/>
        </w:rPr>
        <w:t xml:space="preserve">NOW THEREFORE BE IT RESOLVED </w:t>
      </w:r>
      <w:r>
        <w:t>that the York County Board of Commissioners hereby allocates the following:</w:t>
      </w:r>
    </w:p>
    <w:p w:rsidR="00335CAF" w:rsidRDefault="00335CAF" w:rsidP="00335CAF">
      <w:pPr>
        <w:tabs>
          <w:tab w:val="left" w:pos="720"/>
          <w:tab w:val="left" w:pos="1440"/>
          <w:tab w:val="decimal" w:pos="7920"/>
          <w:tab w:val="decimal" w:pos="9360"/>
        </w:tabs>
        <w:ind w:firstLine="936"/>
      </w:pPr>
    </w:p>
    <w:p w:rsidR="00335CAF" w:rsidRDefault="00335CAF" w:rsidP="00335CAF">
      <w:pPr>
        <w:tabs>
          <w:tab w:val="left" w:pos="720"/>
          <w:tab w:val="left" w:pos="1440"/>
          <w:tab w:val="decimal" w:pos="6120"/>
          <w:tab w:val="decimal" w:pos="9360"/>
        </w:tabs>
        <w:ind w:firstLine="936"/>
      </w:pPr>
      <w:r>
        <w:t>Agricultural Society</w:t>
      </w:r>
      <w:r>
        <w:tab/>
        <w:t>0.005171</w:t>
      </w:r>
    </w:p>
    <w:p w:rsidR="00335CAF" w:rsidRDefault="00335CAF" w:rsidP="00335CAF">
      <w:pPr>
        <w:tabs>
          <w:tab w:val="left" w:pos="720"/>
          <w:tab w:val="left" w:pos="1440"/>
          <w:tab w:val="decimal" w:pos="6120"/>
          <w:tab w:val="decimal" w:pos="9360"/>
        </w:tabs>
        <w:ind w:firstLine="936"/>
      </w:pPr>
      <w:r>
        <w:t>Historical Society</w:t>
      </w:r>
      <w:r>
        <w:tab/>
        <w:t>0.000100</w:t>
      </w:r>
    </w:p>
    <w:p w:rsidR="00335CAF" w:rsidRDefault="00335CAF" w:rsidP="00335CAF">
      <w:pPr>
        <w:tabs>
          <w:tab w:val="left" w:pos="720"/>
          <w:tab w:val="left" w:pos="1440"/>
          <w:tab w:val="decimal" w:pos="6120"/>
          <w:tab w:val="decimal" w:pos="9360"/>
        </w:tabs>
        <w:ind w:firstLine="936"/>
      </w:pPr>
      <w:r>
        <w:t>Rural Fire Districts</w:t>
      </w:r>
      <w:r>
        <w:tab/>
        <w:t>0.036732</w:t>
      </w:r>
    </w:p>
    <w:p w:rsidR="00335CAF" w:rsidRDefault="00335CAF" w:rsidP="00335CAF">
      <w:pPr>
        <w:tabs>
          <w:tab w:val="left" w:pos="720"/>
          <w:tab w:val="left" w:pos="1440"/>
          <w:tab w:val="decimal" w:pos="6120"/>
          <w:tab w:val="decimal" w:pos="9360"/>
        </w:tabs>
        <w:ind w:firstLine="936"/>
      </w:pPr>
      <w:r>
        <w:t>Cemetery Districts</w:t>
      </w:r>
      <w:r>
        <w:tab/>
        <w:t>0.002746</w:t>
      </w:r>
    </w:p>
    <w:p w:rsidR="00335CAF" w:rsidRDefault="00335CAF" w:rsidP="00335CAF">
      <w:pPr>
        <w:tabs>
          <w:tab w:val="left" w:pos="720"/>
          <w:tab w:val="left" w:pos="1440"/>
          <w:tab w:val="decimal" w:pos="6120"/>
          <w:tab w:val="decimal" w:pos="9360"/>
        </w:tabs>
        <w:ind w:firstLine="936"/>
      </w:pPr>
    </w:p>
    <w:p w:rsidR="00335CAF" w:rsidRDefault="00335CAF" w:rsidP="00335CAF">
      <w:pPr>
        <w:tabs>
          <w:tab w:val="left" w:pos="720"/>
          <w:tab w:val="left" w:pos="1440"/>
          <w:tab w:val="decimal" w:pos="6120"/>
          <w:tab w:val="decimal" w:pos="9360"/>
        </w:tabs>
        <w:ind w:firstLine="936"/>
      </w:pPr>
      <w:r>
        <w:rPr>
          <w:b/>
        </w:rPr>
        <w:t xml:space="preserve">BE IT FURTHER RESOLVED </w:t>
      </w:r>
      <w:r>
        <w:t>by said Board that if any of the political subdivisions that are subject to the county levy authority neglects to submit a request, the Board will use their last years budget request to determine the levy rate in the same format as paragraph three (3);</w:t>
      </w:r>
    </w:p>
    <w:p w:rsidR="00335CAF" w:rsidRDefault="00335CAF" w:rsidP="00335CAF">
      <w:pPr>
        <w:tabs>
          <w:tab w:val="left" w:pos="720"/>
          <w:tab w:val="left" w:pos="1440"/>
          <w:tab w:val="decimal" w:pos="6120"/>
          <w:tab w:val="decimal" w:pos="9360"/>
        </w:tabs>
        <w:ind w:firstLine="936"/>
      </w:pPr>
    </w:p>
    <w:p w:rsidR="00335CAF" w:rsidRDefault="00335CAF" w:rsidP="00335CAF">
      <w:pPr>
        <w:tabs>
          <w:tab w:val="left" w:pos="720"/>
          <w:tab w:val="left" w:pos="1440"/>
          <w:tab w:val="decimal" w:pos="6120"/>
          <w:tab w:val="decimal" w:pos="9360"/>
        </w:tabs>
        <w:ind w:firstLine="936"/>
      </w:pPr>
      <w:r>
        <w:rPr>
          <w:b/>
        </w:rPr>
        <w:t xml:space="preserve">BE IT FURTHER RESOLVED </w:t>
      </w:r>
      <w:r>
        <w:t>that the York County Board of Commissioners does hereby allocate the following:</w:t>
      </w:r>
    </w:p>
    <w:p w:rsidR="00335CAF" w:rsidRDefault="00335CAF" w:rsidP="00335CAF">
      <w:pPr>
        <w:tabs>
          <w:tab w:val="left" w:pos="720"/>
          <w:tab w:val="left" w:pos="1440"/>
          <w:tab w:val="decimal" w:pos="6120"/>
          <w:tab w:val="decimal" w:pos="9360"/>
        </w:tabs>
        <w:ind w:firstLine="936"/>
      </w:pPr>
    </w:p>
    <w:tbl>
      <w:tblPr>
        <w:tblW w:w="11543" w:type="dxa"/>
        <w:tblInd w:w="96" w:type="dxa"/>
        <w:tblCellMar>
          <w:left w:w="29" w:type="dxa"/>
          <w:right w:w="115" w:type="dxa"/>
        </w:tblCellMar>
        <w:tblLook w:val="04A0"/>
      </w:tblPr>
      <w:tblGrid>
        <w:gridCol w:w="1935"/>
        <w:gridCol w:w="2372"/>
        <w:gridCol w:w="1656"/>
        <w:gridCol w:w="1872"/>
        <w:gridCol w:w="1704"/>
        <w:gridCol w:w="2004"/>
      </w:tblGrid>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left="129" w:hanging="51"/>
              <w:rPr>
                <w:rFonts w:ascii="Calibri" w:hAnsi="Calibri"/>
                <w:b/>
                <w:bCs/>
                <w:color w:val="000000"/>
              </w:rPr>
            </w:pPr>
            <w:r w:rsidRPr="00957A66">
              <w:rPr>
                <w:rFonts w:ascii="Calibri" w:hAnsi="Calibri"/>
                <w:b/>
                <w:bCs/>
                <w:color w:val="000000"/>
                <w:sz w:val="22"/>
                <w:szCs w:val="22"/>
              </w:rPr>
              <w:t>VALUATION</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FUND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REQUEST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LEVY </w:t>
            </w:r>
          </w:p>
        </w:tc>
        <w:tc>
          <w:tcPr>
            <w:tcW w:w="2004" w:type="dxa"/>
            <w:tcBorders>
              <w:top w:val="nil"/>
              <w:left w:val="nil"/>
              <w:bottom w:val="nil"/>
              <w:right w:val="nil"/>
            </w:tcBorders>
            <w:shd w:val="clear" w:color="auto" w:fill="auto"/>
            <w:noWrap/>
            <w:vAlign w:val="bottom"/>
            <w:hideMark/>
          </w:tcPr>
          <w:p w:rsidR="00335CAF" w:rsidRPr="00957A66" w:rsidRDefault="00335CAF" w:rsidP="00A70321">
            <w:pPr>
              <w:ind w:left="85" w:hanging="5"/>
              <w:rPr>
                <w:rFonts w:ascii="Calibri" w:hAnsi="Calibri"/>
                <w:b/>
                <w:bCs/>
                <w:color w:val="000000"/>
              </w:rPr>
            </w:pPr>
            <w:r w:rsidRPr="00957A66">
              <w:rPr>
                <w:rFonts w:ascii="Calibri" w:hAnsi="Calibri"/>
                <w:b/>
                <w:bCs/>
                <w:color w:val="000000"/>
                <w:sz w:val="22"/>
                <w:szCs w:val="22"/>
              </w:rPr>
              <w:t xml:space="preserve"> MAXIMUM LEVY  </w:t>
            </w: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b/>
                <w:bCs/>
                <w:color w:val="000000"/>
              </w:rPr>
            </w:pPr>
            <w:r w:rsidRPr="00957A66">
              <w:rPr>
                <w:rFonts w:ascii="Calibri" w:hAnsi="Calibri"/>
                <w:b/>
                <w:bCs/>
                <w:color w:val="000000"/>
                <w:sz w:val="22"/>
                <w:szCs w:val="22"/>
              </w:rPr>
              <w:t>Ag Society</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3,396,236,841.00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175,634.00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0.005171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0.005171 </w:t>
            </w: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b/>
                <w:bCs/>
                <w:color w:val="000000"/>
              </w:rPr>
            </w:pPr>
            <w:r w:rsidRPr="00957A66">
              <w:rPr>
                <w:rFonts w:ascii="Calibri" w:hAnsi="Calibri"/>
                <w:b/>
                <w:bCs/>
                <w:color w:val="000000"/>
                <w:sz w:val="22"/>
                <w:szCs w:val="22"/>
              </w:rPr>
              <w:t>Historical</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3,396,236,841.00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3,409.11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0.000100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0.000100 </w:t>
            </w: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468"/>
        </w:trPr>
        <w:tc>
          <w:tcPr>
            <w:tcW w:w="4307" w:type="dxa"/>
            <w:gridSpan w:val="2"/>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b/>
                <w:bCs/>
                <w:color w:val="000000"/>
                <w:sz w:val="36"/>
                <w:szCs w:val="36"/>
              </w:rPr>
            </w:pPr>
            <w:r w:rsidRPr="00957A66">
              <w:rPr>
                <w:rFonts w:ascii="Calibri" w:hAnsi="Calibri"/>
                <w:b/>
                <w:bCs/>
                <w:color w:val="000000"/>
                <w:sz w:val="36"/>
                <w:szCs w:val="36"/>
              </w:rPr>
              <w:t>Fire Districts</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b/>
                <w:bCs/>
                <w:color w:val="000000"/>
              </w:rPr>
            </w:pPr>
            <w:r w:rsidRPr="00957A66">
              <w:rPr>
                <w:rFonts w:ascii="Calibri" w:hAnsi="Calibri"/>
                <w:b/>
                <w:bCs/>
                <w:color w:val="000000"/>
                <w:sz w:val="22"/>
                <w:szCs w:val="22"/>
              </w:rPr>
              <w:t>Benedict</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356,247,760.00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34,011.00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0.009547 </w:t>
            </w:r>
          </w:p>
        </w:tc>
        <w:tc>
          <w:tcPr>
            <w:tcW w:w="2004" w:type="dxa"/>
            <w:tcBorders>
              <w:top w:val="nil"/>
              <w:left w:val="nil"/>
              <w:bottom w:val="nil"/>
              <w:right w:val="nil"/>
            </w:tcBorders>
            <w:shd w:val="clear" w:color="auto" w:fill="auto"/>
            <w:noWrap/>
            <w:vAlign w:val="bottom"/>
            <w:hideMark/>
          </w:tcPr>
          <w:p w:rsidR="00335CAF" w:rsidRPr="00957A66" w:rsidRDefault="00335CAF" w:rsidP="00A70321">
            <w:pPr>
              <w:ind w:hanging="5"/>
              <w:jc w:val="right"/>
              <w:rPr>
                <w:rFonts w:ascii="Calibri" w:hAnsi="Calibri"/>
                <w:b/>
                <w:bCs/>
                <w:color w:val="000000"/>
              </w:rPr>
            </w:pPr>
            <w:r w:rsidRPr="00957A66">
              <w:rPr>
                <w:rFonts w:ascii="Calibri" w:hAnsi="Calibri"/>
                <w:b/>
                <w:bCs/>
                <w:color w:val="000000"/>
                <w:sz w:val="22"/>
                <w:szCs w:val="22"/>
              </w:rPr>
              <w:t>0.036732</w:t>
            </w: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b/>
                <w:bCs/>
                <w:color w:val="000000"/>
              </w:rPr>
            </w:pPr>
            <w:r w:rsidRPr="00957A66">
              <w:rPr>
                <w:rFonts w:ascii="Calibri" w:hAnsi="Calibri"/>
                <w:b/>
                <w:bCs/>
                <w:color w:val="000000"/>
                <w:sz w:val="22"/>
                <w:szCs w:val="22"/>
              </w:rPr>
              <w:t>Bradshaw</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445,901,956.00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34,758.42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0.007795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Sinking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10,943.97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0.002454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3E6973">
        <w:trPr>
          <w:trHeight w:val="459"/>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Total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45,702.39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0.010249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left="714" w:hanging="6"/>
              <w:rPr>
                <w:rFonts w:ascii="Calibri" w:hAnsi="Calibri"/>
                <w:b/>
                <w:bCs/>
                <w:color w:val="000000"/>
              </w:rPr>
            </w:pPr>
            <w:r w:rsidRPr="00957A66">
              <w:rPr>
                <w:rFonts w:ascii="Calibri" w:hAnsi="Calibri"/>
                <w:b/>
                <w:bCs/>
                <w:color w:val="000000"/>
                <w:sz w:val="22"/>
                <w:szCs w:val="22"/>
              </w:rPr>
              <w:t>Gresham</w:t>
            </w: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left="714" w:hanging="6"/>
              <w:rPr>
                <w:rFonts w:ascii="Calibri" w:hAnsi="Calibri"/>
                <w:color w:val="000000"/>
              </w:rPr>
            </w:pPr>
            <w:r w:rsidRPr="00957A66">
              <w:rPr>
                <w:rFonts w:ascii="Calibri" w:hAnsi="Calibri"/>
                <w:color w:val="000000"/>
                <w:sz w:val="22"/>
                <w:szCs w:val="22"/>
              </w:rPr>
              <w:t>Butler Co</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left="129" w:hanging="51"/>
              <w:jc w:val="right"/>
              <w:rPr>
                <w:rFonts w:ascii="Calibri" w:hAnsi="Calibri"/>
                <w:color w:val="000000"/>
              </w:rPr>
            </w:pPr>
            <w:r w:rsidRPr="00957A66">
              <w:rPr>
                <w:rFonts w:ascii="Calibri" w:hAnsi="Calibri"/>
                <w:color w:val="000000"/>
                <w:sz w:val="22"/>
                <w:szCs w:val="22"/>
              </w:rPr>
              <w:t xml:space="preserve">30,858,752.00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left="714" w:hanging="6"/>
              <w:rPr>
                <w:rFonts w:ascii="Calibri" w:hAnsi="Calibri"/>
                <w:color w:val="000000"/>
              </w:rPr>
            </w:pPr>
            <w:r w:rsidRPr="00957A66">
              <w:rPr>
                <w:rFonts w:ascii="Calibri" w:hAnsi="Calibri"/>
                <w:color w:val="000000"/>
                <w:sz w:val="22"/>
                <w:szCs w:val="22"/>
              </w:rPr>
              <w:t>Polk Co</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93,341,891.00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color w:val="000000"/>
              </w:rPr>
            </w:pPr>
            <w:r w:rsidRPr="00957A66">
              <w:rPr>
                <w:rFonts w:ascii="Calibri" w:hAnsi="Calibri"/>
                <w:color w:val="000000"/>
                <w:sz w:val="22"/>
                <w:szCs w:val="22"/>
              </w:rPr>
              <w:t>Seward Co</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69,313,097.00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60,293.78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0.016574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color w:val="000000"/>
              </w:rPr>
            </w:pPr>
            <w:r w:rsidRPr="00957A66">
              <w:rPr>
                <w:rFonts w:ascii="Calibri" w:hAnsi="Calibri"/>
                <w:color w:val="000000"/>
                <w:sz w:val="22"/>
                <w:szCs w:val="22"/>
              </w:rPr>
              <w:t>York Co</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170,265,097.00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Sinking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16,488.35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0.004533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b/>
                <w:bCs/>
                <w:color w:val="000000"/>
              </w:rPr>
            </w:pPr>
            <w:r w:rsidRPr="00957A66">
              <w:rPr>
                <w:rFonts w:ascii="Calibri" w:hAnsi="Calibri"/>
                <w:b/>
                <w:bCs/>
                <w:color w:val="000000"/>
                <w:sz w:val="22"/>
                <w:szCs w:val="22"/>
              </w:rPr>
              <w:t>Total Value</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b/>
                <w:bCs/>
                <w:color w:val="000000"/>
              </w:rPr>
            </w:pPr>
            <w:r w:rsidRPr="00957A66">
              <w:rPr>
                <w:rFonts w:ascii="Calibri" w:hAnsi="Calibri"/>
                <w:b/>
                <w:bCs/>
                <w:color w:val="000000"/>
                <w:sz w:val="22"/>
                <w:szCs w:val="22"/>
              </w:rPr>
              <w:t xml:space="preserve">363,778,837.00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Total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76,782.13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0.021107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b/>
                <w:bCs/>
                <w:color w:val="000000"/>
              </w:rPr>
            </w:pPr>
            <w:r w:rsidRPr="00957A66">
              <w:rPr>
                <w:rFonts w:ascii="Calibri" w:hAnsi="Calibri"/>
                <w:b/>
                <w:bCs/>
                <w:color w:val="000000"/>
                <w:sz w:val="22"/>
                <w:szCs w:val="22"/>
              </w:rPr>
              <w:t>Henderson</w:t>
            </w: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color w:val="000000"/>
              </w:rPr>
            </w:pPr>
            <w:r w:rsidRPr="00957A66">
              <w:rPr>
                <w:rFonts w:ascii="Calibri" w:hAnsi="Calibri"/>
                <w:color w:val="000000"/>
                <w:sz w:val="22"/>
                <w:szCs w:val="22"/>
              </w:rPr>
              <w:t>York Co</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246,872,704.00 </w:t>
            </w:r>
          </w:p>
        </w:tc>
        <w:tc>
          <w:tcPr>
            <w:tcW w:w="1656" w:type="dxa"/>
            <w:tcBorders>
              <w:top w:val="nil"/>
              <w:left w:val="nil"/>
              <w:bottom w:val="nil"/>
              <w:right w:val="nil"/>
            </w:tcBorders>
            <w:shd w:val="clear" w:color="auto" w:fill="auto"/>
            <w:noWrap/>
            <w:vAlign w:val="bottom"/>
            <w:hideMark/>
          </w:tcPr>
          <w:p w:rsidR="00335CAF" w:rsidRPr="00957A66" w:rsidRDefault="00335CAF" w:rsidP="00A70321">
            <w:pPr>
              <w:ind w:firstLine="7"/>
              <w:rPr>
                <w:rFonts w:ascii="Calibri" w:hAnsi="Calibri"/>
                <w:color w:val="000000"/>
              </w:rPr>
            </w:pPr>
            <w:r w:rsidRPr="00957A66">
              <w:rPr>
                <w:rFonts w:ascii="Calibri" w:hAnsi="Calibri"/>
                <w:color w:val="000000"/>
                <w:sz w:val="22"/>
                <w:szCs w:val="22"/>
              </w:rPr>
              <w:t>General</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31,480.00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0.007473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color w:val="000000"/>
              </w:rPr>
            </w:pPr>
            <w:r w:rsidRPr="00957A66">
              <w:rPr>
                <w:rFonts w:ascii="Calibri" w:hAnsi="Calibri"/>
                <w:color w:val="000000"/>
                <w:sz w:val="22"/>
                <w:szCs w:val="22"/>
              </w:rPr>
              <w:t>Hamilton Co</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174,375,154.00 </w:t>
            </w:r>
          </w:p>
        </w:tc>
        <w:tc>
          <w:tcPr>
            <w:tcW w:w="1656" w:type="dxa"/>
            <w:tcBorders>
              <w:top w:val="nil"/>
              <w:left w:val="nil"/>
              <w:bottom w:val="nil"/>
              <w:right w:val="nil"/>
            </w:tcBorders>
            <w:shd w:val="clear" w:color="auto" w:fill="auto"/>
            <w:noWrap/>
            <w:vAlign w:val="bottom"/>
            <w:hideMark/>
          </w:tcPr>
          <w:p w:rsidR="00335CAF" w:rsidRPr="00957A66" w:rsidRDefault="00335CAF" w:rsidP="00A70321">
            <w:pPr>
              <w:ind w:firstLine="7"/>
              <w:rPr>
                <w:rFonts w:ascii="Calibri" w:hAnsi="Calibri"/>
                <w:color w:val="000000"/>
              </w:rPr>
            </w:pPr>
            <w:r w:rsidRPr="00957A66">
              <w:rPr>
                <w:rFonts w:ascii="Calibri" w:hAnsi="Calibri"/>
                <w:color w:val="000000"/>
                <w:sz w:val="22"/>
                <w:szCs w:val="22"/>
              </w:rPr>
              <w:t>Bond</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22,000.00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0.005223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b/>
                <w:bCs/>
                <w:color w:val="000000"/>
              </w:rPr>
            </w:pPr>
            <w:r w:rsidRPr="00957A66">
              <w:rPr>
                <w:rFonts w:ascii="Calibri" w:hAnsi="Calibri"/>
                <w:b/>
                <w:bCs/>
                <w:color w:val="000000"/>
                <w:sz w:val="22"/>
                <w:szCs w:val="22"/>
              </w:rPr>
              <w:t>Total Value</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b/>
                <w:bCs/>
                <w:color w:val="000000"/>
              </w:rPr>
            </w:pPr>
            <w:r w:rsidRPr="00957A66">
              <w:rPr>
                <w:rFonts w:ascii="Calibri" w:hAnsi="Calibri"/>
                <w:b/>
                <w:bCs/>
                <w:color w:val="000000"/>
                <w:sz w:val="22"/>
                <w:szCs w:val="22"/>
              </w:rPr>
              <w:t xml:space="preserve">421,247,858.00 </w:t>
            </w:r>
          </w:p>
        </w:tc>
        <w:tc>
          <w:tcPr>
            <w:tcW w:w="1656" w:type="dxa"/>
            <w:tcBorders>
              <w:top w:val="nil"/>
              <w:left w:val="nil"/>
              <w:bottom w:val="nil"/>
              <w:right w:val="nil"/>
            </w:tcBorders>
            <w:shd w:val="clear" w:color="auto" w:fill="auto"/>
            <w:noWrap/>
            <w:vAlign w:val="bottom"/>
            <w:hideMark/>
          </w:tcPr>
          <w:p w:rsidR="00335CAF" w:rsidRPr="00957A66" w:rsidRDefault="00335CAF" w:rsidP="00A70321">
            <w:pPr>
              <w:ind w:firstLine="7"/>
              <w:rPr>
                <w:rFonts w:ascii="Calibri" w:hAnsi="Calibri"/>
                <w:b/>
                <w:bCs/>
                <w:color w:val="000000"/>
              </w:rPr>
            </w:pPr>
            <w:r w:rsidRPr="00957A66">
              <w:rPr>
                <w:rFonts w:ascii="Calibri" w:hAnsi="Calibri"/>
                <w:b/>
                <w:bCs/>
                <w:color w:val="000000"/>
                <w:sz w:val="22"/>
                <w:szCs w:val="22"/>
              </w:rPr>
              <w:t>Total</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53,480.00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0.012696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360"/>
        </w:trPr>
        <w:tc>
          <w:tcPr>
            <w:tcW w:w="1935" w:type="dxa"/>
            <w:tcBorders>
              <w:top w:val="nil"/>
              <w:left w:val="nil"/>
              <w:bottom w:val="nil"/>
              <w:right w:val="nil"/>
            </w:tcBorders>
            <w:shd w:val="clear" w:color="auto" w:fill="auto"/>
            <w:noWrap/>
            <w:vAlign w:val="bottom"/>
            <w:hideMark/>
          </w:tcPr>
          <w:p w:rsidR="00335CAF" w:rsidRPr="00957A66" w:rsidRDefault="00335CAF" w:rsidP="00532042">
            <w:pPr>
              <w:ind w:hanging="6"/>
              <w:rPr>
                <w:rFonts w:ascii="Calibri" w:hAnsi="Calibri"/>
                <w:b/>
                <w:bCs/>
                <w:color w:val="000000"/>
              </w:rPr>
            </w:pPr>
            <w:r w:rsidRPr="00957A66">
              <w:rPr>
                <w:rFonts w:ascii="Calibri" w:hAnsi="Calibri"/>
                <w:b/>
                <w:bCs/>
                <w:color w:val="000000"/>
                <w:sz w:val="22"/>
                <w:szCs w:val="22"/>
              </w:rPr>
              <w:t>McCool Jct</w:t>
            </w:r>
          </w:p>
        </w:tc>
        <w:tc>
          <w:tcPr>
            <w:tcW w:w="2372" w:type="dxa"/>
            <w:tcBorders>
              <w:top w:val="nil"/>
              <w:left w:val="nil"/>
              <w:bottom w:val="nil"/>
              <w:right w:val="nil"/>
            </w:tcBorders>
            <w:shd w:val="clear" w:color="auto" w:fill="auto"/>
            <w:noWrap/>
            <w:vAlign w:val="bottom"/>
            <w:hideMark/>
          </w:tcPr>
          <w:p w:rsidR="00335CAF" w:rsidRPr="00957A66" w:rsidRDefault="00335CAF" w:rsidP="00532042">
            <w:pPr>
              <w:ind w:hanging="51"/>
              <w:jc w:val="right"/>
              <w:rPr>
                <w:rFonts w:ascii="Calibri" w:hAnsi="Calibri"/>
                <w:color w:val="000000"/>
              </w:rPr>
            </w:pPr>
            <w:r w:rsidRPr="00957A66">
              <w:rPr>
                <w:rFonts w:ascii="Calibri" w:hAnsi="Calibri"/>
                <w:color w:val="000000"/>
                <w:sz w:val="22"/>
                <w:szCs w:val="22"/>
              </w:rPr>
              <w:t xml:space="preserve">348,205,005.00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37,852.46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0.010871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Sinking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90,051.03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0.025861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Total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127,903.49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0.036732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b/>
                <w:bCs/>
                <w:color w:val="000000"/>
              </w:rPr>
            </w:pPr>
            <w:r w:rsidRPr="00957A66">
              <w:rPr>
                <w:rFonts w:ascii="Calibri" w:hAnsi="Calibri"/>
                <w:b/>
                <w:bCs/>
                <w:color w:val="000000"/>
                <w:sz w:val="22"/>
                <w:szCs w:val="22"/>
              </w:rPr>
              <w:t>Waco</w:t>
            </w: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jc w:val="right"/>
              <w:rPr>
                <w:rFonts w:ascii="Calibri" w:hAnsi="Calibri"/>
                <w:color w:val="000000"/>
              </w:rPr>
            </w:pPr>
            <w:r w:rsidRPr="00957A66">
              <w:rPr>
                <w:rFonts w:ascii="Calibri" w:hAnsi="Calibri"/>
                <w:color w:val="000000"/>
                <w:sz w:val="22"/>
                <w:szCs w:val="22"/>
              </w:rPr>
              <w:t xml:space="preserve">454,590,591.00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59,300.00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0.013045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b/>
                <w:bCs/>
                <w:color w:val="000000"/>
              </w:rPr>
            </w:pPr>
            <w:r w:rsidRPr="00957A66">
              <w:rPr>
                <w:rFonts w:ascii="Calibri" w:hAnsi="Calibri"/>
                <w:b/>
                <w:bCs/>
                <w:color w:val="000000"/>
                <w:sz w:val="22"/>
                <w:szCs w:val="22"/>
              </w:rPr>
              <w:t>York</w:t>
            </w: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jc w:val="right"/>
              <w:rPr>
                <w:rFonts w:ascii="Calibri" w:hAnsi="Calibri"/>
                <w:color w:val="000000"/>
              </w:rPr>
            </w:pPr>
            <w:r w:rsidRPr="00957A66">
              <w:rPr>
                <w:rFonts w:ascii="Calibri" w:hAnsi="Calibri"/>
                <w:color w:val="000000"/>
                <w:sz w:val="22"/>
                <w:szCs w:val="22"/>
              </w:rPr>
              <w:t xml:space="preserve">501,910,882.00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116,260.00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0.023163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516"/>
        </w:trPr>
        <w:tc>
          <w:tcPr>
            <w:tcW w:w="4307" w:type="dxa"/>
            <w:gridSpan w:val="2"/>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b/>
                <w:bCs/>
                <w:color w:val="000000"/>
                <w:sz w:val="40"/>
                <w:szCs w:val="40"/>
              </w:rPr>
            </w:pPr>
            <w:r w:rsidRPr="00957A66">
              <w:rPr>
                <w:rFonts w:ascii="Calibri" w:hAnsi="Calibri"/>
                <w:b/>
                <w:bCs/>
                <w:color w:val="000000"/>
                <w:sz w:val="40"/>
                <w:szCs w:val="40"/>
              </w:rPr>
              <w:t>Cemetery Districts</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r w:rsidRPr="00957A66">
              <w:rPr>
                <w:rFonts w:ascii="Calibri" w:hAnsi="Calibri"/>
                <w:color w:val="000000"/>
                <w:sz w:val="22"/>
                <w:szCs w:val="22"/>
              </w:rPr>
              <w:t>Plainfield</w:t>
            </w: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jc w:val="right"/>
              <w:rPr>
                <w:rFonts w:ascii="Calibri" w:hAnsi="Calibri"/>
                <w:color w:val="000000"/>
              </w:rPr>
            </w:pPr>
            <w:r w:rsidRPr="00957A66">
              <w:rPr>
                <w:rFonts w:ascii="Calibri" w:hAnsi="Calibri"/>
                <w:color w:val="000000"/>
                <w:sz w:val="22"/>
                <w:szCs w:val="22"/>
              </w:rPr>
              <w:t xml:space="preserve">196,927,405.00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4,000.00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0.002031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0.002746 </w:t>
            </w: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r w:rsidRPr="00957A66">
              <w:rPr>
                <w:rFonts w:ascii="Calibri" w:hAnsi="Calibri"/>
                <w:color w:val="000000"/>
                <w:sz w:val="22"/>
                <w:szCs w:val="22"/>
              </w:rPr>
              <w:t>Thayer</w:t>
            </w: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jc w:val="right"/>
              <w:rPr>
                <w:rFonts w:ascii="Calibri" w:hAnsi="Calibri"/>
                <w:color w:val="000000"/>
              </w:rPr>
            </w:pPr>
            <w:r w:rsidRPr="00957A66">
              <w:rPr>
                <w:rFonts w:ascii="Calibri" w:hAnsi="Calibri"/>
                <w:color w:val="000000"/>
                <w:sz w:val="22"/>
                <w:szCs w:val="22"/>
              </w:rPr>
              <w:t xml:space="preserve">164,026,974.00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4,503.74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0.002746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r w:rsidRPr="00957A66">
              <w:rPr>
                <w:rFonts w:ascii="Calibri" w:hAnsi="Calibri"/>
                <w:color w:val="000000"/>
                <w:sz w:val="22"/>
                <w:szCs w:val="22"/>
              </w:rPr>
              <w:t>Vernon</w:t>
            </w: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jc w:val="right"/>
              <w:rPr>
                <w:rFonts w:ascii="Calibri" w:hAnsi="Calibri"/>
                <w:color w:val="000000"/>
              </w:rPr>
            </w:pPr>
            <w:r w:rsidRPr="00957A66">
              <w:rPr>
                <w:rFonts w:ascii="Calibri" w:hAnsi="Calibri"/>
                <w:color w:val="000000"/>
                <w:sz w:val="22"/>
                <w:szCs w:val="22"/>
              </w:rPr>
              <w:t xml:space="preserve">167,487,594.00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1,911.49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0.001141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r w:rsidR="00D76BC9" w:rsidRPr="00957A66" w:rsidTr="00A70321">
        <w:trPr>
          <w:trHeight w:val="288"/>
        </w:trPr>
        <w:tc>
          <w:tcPr>
            <w:tcW w:w="1935" w:type="dxa"/>
            <w:tcBorders>
              <w:top w:val="nil"/>
              <w:left w:val="nil"/>
              <w:bottom w:val="nil"/>
              <w:right w:val="nil"/>
            </w:tcBorders>
            <w:shd w:val="clear" w:color="auto" w:fill="auto"/>
            <w:noWrap/>
            <w:vAlign w:val="bottom"/>
            <w:hideMark/>
          </w:tcPr>
          <w:p w:rsidR="00335CAF" w:rsidRPr="00957A66" w:rsidRDefault="00335CAF" w:rsidP="00A70321">
            <w:pPr>
              <w:ind w:hanging="6"/>
              <w:rPr>
                <w:rFonts w:ascii="Calibri" w:hAnsi="Calibri"/>
                <w:color w:val="000000"/>
              </w:rPr>
            </w:pPr>
            <w:r w:rsidRPr="00957A66">
              <w:rPr>
                <w:rFonts w:ascii="Calibri" w:hAnsi="Calibri"/>
                <w:color w:val="000000"/>
                <w:sz w:val="22"/>
                <w:szCs w:val="22"/>
              </w:rPr>
              <w:t>Waco</w:t>
            </w:r>
          </w:p>
        </w:tc>
        <w:tc>
          <w:tcPr>
            <w:tcW w:w="2372" w:type="dxa"/>
            <w:tcBorders>
              <w:top w:val="nil"/>
              <w:left w:val="nil"/>
              <w:bottom w:val="nil"/>
              <w:right w:val="nil"/>
            </w:tcBorders>
            <w:shd w:val="clear" w:color="auto" w:fill="auto"/>
            <w:noWrap/>
            <w:vAlign w:val="bottom"/>
            <w:hideMark/>
          </w:tcPr>
          <w:p w:rsidR="00335CAF" w:rsidRPr="00957A66" w:rsidRDefault="00335CAF" w:rsidP="00A70321">
            <w:pPr>
              <w:ind w:hanging="6"/>
              <w:jc w:val="right"/>
              <w:rPr>
                <w:rFonts w:ascii="Calibri" w:hAnsi="Calibri"/>
                <w:color w:val="000000"/>
              </w:rPr>
            </w:pPr>
            <w:r w:rsidRPr="00957A66">
              <w:rPr>
                <w:rFonts w:ascii="Calibri" w:hAnsi="Calibri"/>
                <w:color w:val="000000"/>
                <w:sz w:val="22"/>
                <w:szCs w:val="22"/>
              </w:rPr>
              <w:t xml:space="preserve">293,144,266.00 </w:t>
            </w:r>
          </w:p>
        </w:tc>
        <w:tc>
          <w:tcPr>
            <w:tcW w:w="1656"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General </w:t>
            </w:r>
          </w:p>
        </w:tc>
        <w:tc>
          <w:tcPr>
            <w:tcW w:w="1872"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b/>
                <w:bCs/>
                <w:color w:val="000000"/>
              </w:rPr>
            </w:pPr>
            <w:r w:rsidRPr="00957A66">
              <w:rPr>
                <w:rFonts w:ascii="Calibri" w:hAnsi="Calibri"/>
                <w:b/>
                <w:bCs/>
                <w:color w:val="000000"/>
                <w:sz w:val="22"/>
                <w:szCs w:val="22"/>
              </w:rPr>
              <w:t xml:space="preserve">           4,351.00 </w:t>
            </w:r>
          </w:p>
        </w:tc>
        <w:tc>
          <w:tcPr>
            <w:tcW w:w="17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r w:rsidRPr="00957A66">
              <w:rPr>
                <w:rFonts w:ascii="Calibri" w:hAnsi="Calibri"/>
                <w:color w:val="000000"/>
                <w:sz w:val="22"/>
                <w:szCs w:val="22"/>
              </w:rPr>
              <w:t xml:space="preserve">           0.001484 </w:t>
            </w:r>
          </w:p>
        </w:tc>
        <w:tc>
          <w:tcPr>
            <w:tcW w:w="2004" w:type="dxa"/>
            <w:tcBorders>
              <w:top w:val="nil"/>
              <w:left w:val="nil"/>
              <w:bottom w:val="nil"/>
              <w:right w:val="nil"/>
            </w:tcBorders>
            <w:shd w:val="clear" w:color="auto" w:fill="auto"/>
            <w:noWrap/>
            <w:vAlign w:val="bottom"/>
            <w:hideMark/>
          </w:tcPr>
          <w:p w:rsidR="00335CAF" w:rsidRPr="00957A66" w:rsidRDefault="00335CAF" w:rsidP="00335CAF">
            <w:pPr>
              <w:rPr>
                <w:rFonts w:ascii="Calibri" w:hAnsi="Calibri"/>
                <w:color w:val="000000"/>
              </w:rPr>
            </w:pPr>
          </w:p>
        </w:tc>
      </w:tr>
    </w:tbl>
    <w:p w:rsidR="00335CAF" w:rsidRDefault="00335CAF" w:rsidP="00335CAF">
      <w:pPr>
        <w:tabs>
          <w:tab w:val="left" w:pos="720"/>
          <w:tab w:val="left" w:pos="1440"/>
          <w:tab w:val="decimal" w:pos="6120"/>
          <w:tab w:val="decimal" w:pos="9360"/>
        </w:tabs>
        <w:ind w:firstLine="936"/>
      </w:pPr>
    </w:p>
    <w:p w:rsidR="00335CAF" w:rsidRDefault="00335CAF" w:rsidP="00335CAF">
      <w:r>
        <w:t>Dated this 1st day of September, 2015.</w:t>
      </w:r>
    </w:p>
    <w:p w:rsidR="008174D0" w:rsidRDefault="008174D0" w:rsidP="00335CAF"/>
    <w:p w:rsidR="008174D0" w:rsidRDefault="008174D0" w:rsidP="008174D0">
      <w:pPr>
        <w:ind w:left="0"/>
        <w:rPr>
          <w:b/>
          <w:u w:val="single"/>
        </w:rPr>
      </w:pPr>
      <w:r>
        <w:rPr>
          <w:b/>
          <w:u w:val="single"/>
        </w:rPr>
        <w:t xml:space="preserve">PAYROLL AND </w:t>
      </w:r>
      <w:r w:rsidRPr="006477C6">
        <w:rPr>
          <w:b/>
          <w:u w:val="single"/>
        </w:rPr>
        <w:t>VENDOR CLAIMS:</w:t>
      </w:r>
    </w:p>
    <w:p w:rsidR="00302C92" w:rsidRDefault="008174D0" w:rsidP="00F67E41">
      <w:pPr>
        <w:ind w:left="0"/>
      </w:pPr>
      <w:r>
        <w:t xml:space="preserve">Moved by Obermier, seconded by Sikes, to approve the payroll </w:t>
      </w:r>
      <w:r w:rsidR="00515C73">
        <w:t xml:space="preserve">in the amount of $146,214.85 </w:t>
      </w:r>
      <w:r>
        <w:t>and vendor claims with a added claim to Central Nebraska County Officials Association in the amount of $240.00; roll call;  yeas, Obermier, Sikes, Buller, Bulgrin and Bamesberger; nays, none; motion carried.</w:t>
      </w:r>
    </w:p>
    <w:p w:rsidR="007C2FA7" w:rsidRDefault="007C2FA7" w:rsidP="00F67E41">
      <w:pPr>
        <w:ind w:left="0"/>
      </w:pPr>
    </w:p>
    <w:p w:rsidR="007C2FA7" w:rsidRDefault="007C2FA7" w:rsidP="007C2FA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7C2FA7" w:rsidRPr="005E4864" w:rsidRDefault="007C2FA7" w:rsidP="007C2FA7">
      <w:pPr>
        <w:tabs>
          <w:tab w:val="left" w:pos="3060"/>
          <w:tab w:val="left" w:pos="7200"/>
          <w:tab w:val="left" w:pos="10800"/>
          <w:tab w:val="decimal" w:pos="11160"/>
          <w:tab w:val="left" w:pos="12240"/>
          <w:tab w:val="left" w:pos="12960"/>
        </w:tabs>
        <w:ind w:left="0" w:firstLine="0"/>
        <w:rPr>
          <w:b/>
          <w:u w:val="single"/>
        </w:rPr>
      </w:pPr>
    </w:p>
    <w:p w:rsidR="007C2FA7" w:rsidRDefault="007C2FA7" w:rsidP="007C2FA7">
      <w:pPr>
        <w:tabs>
          <w:tab w:val="left" w:pos="3060"/>
          <w:tab w:val="left" w:pos="7200"/>
          <w:tab w:val="decimal" w:pos="10710"/>
          <w:tab w:val="left" w:pos="10800"/>
          <w:tab w:val="left" w:pos="12240"/>
          <w:tab w:val="left" w:pos="12960"/>
        </w:tabs>
      </w:pPr>
      <w:r>
        <w:t>General</w:t>
      </w:r>
      <w:r>
        <w:tab/>
        <w:t>Barker Company, Inc., Bob</w:t>
      </w:r>
      <w:r>
        <w:tab/>
        <w:t>Equipment</w:t>
      </w:r>
      <w:r>
        <w:tab/>
        <w:t>309.82</w:t>
      </w:r>
    </w:p>
    <w:p w:rsidR="007C2FA7" w:rsidRDefault="007C2FA7" w:rsidP="007C2FA7">
      <w:pPr>
        <w:tabs>
          <w:tab w:val="left" w:pos="3060"/>
          <w:tab w:val="left" w:pos="7200"/>
          <w:tab w:val="decimal" w:pos="10710"/>
          <w:tab w:val="left" w:pos="10800"/>
          <w:tab w:val="left" w:pos="12240"/>
          <w:tab w:val="left" w:pos="12960"/>
        </w:tabs>
      </w:pPr>
      <w:r>
        <w:t>General, Rd</w:t>
      </w:r>
      <w:r>
        <w:tab/>
        <w:t>Black Hills Energy</w:t>
      </w:r>
      <w:r>
        <w:tab/>
        <w:t>Heating Fuels</w:t>
      </w:r>
      <w:r>
        <w:tab/>
        <w:t>550.62</w:t>
      </w:r>
    </w:p>
    <w:p w:rsidR="007C2FA7" w:rsidRDefault="007C2FA7" w:rsidP="007C2FA7">
      <w:pPr>
        <w:tabs>
          <w:tab w:val="left" w:pos="3060"/>
          <w:tab w:val="left" w:pos="7200"/>
          <w:tab w:val="decimal" w:pos="10710"/>
          <w:tab w:val="left" w:pos="10800"/>
          <w:tab w:val="left" w:pos="12240"/>
          <w:tab w:val="left" w:pos="12960"/>
        </w:tabs>
      </w:pPr>
      <w:r>
        <w:t>General</w:t>
      </w:r>
      <w:r>
        <w:tab/>
        <w:t>Blue Knight Security, Inc.</w:t>
      </w:r>
      <w:r>
        <w:tab/>
        <w:t>Security Contract</w:t>
      </w:r>
      <w:r>
        <w:tab/>
        <w:t>2,130.00</w:t>
      </w:r>
    </w:p>
    <w:p w:rsidR="007C2FA7" w:rsidRDefault="007C2FA7" w:rsidP="007C2FA7">
      <w:pPr>
        <w:tabs>
          <w:tab w:val="left" w:pos="3060"/>
          <w:tab w:val="left" w:pos="7200"/>
          <w:tab w:val="decimal" w:pos="10710"/>
          <w:tab w:val="left" w:pos="10800"/>
          <w:tab w:val="left" w:pos="12240"/>
          <w:tab w:val="left" w:pos="12960"/>
        </w:tabs>
      </w:pPr>
      <w:r>
        <w:lastRenderedPageBreak/>
        <w:t>General</w:t>
      </w:r>
      <w:r>
        <w:tab/>
        <w:t>Brown County Sheriff’s Office</w:t>
      </w:r>
      <w:r>
        <w:tab/>
        <w:t>Court Costs</w:t>
      </w:r>
      <w:r>
        <w:tab/>
        <w:t>6.00</w:t>
      </w:r>
    </w:p>
    <w:p w:rsidR="007C2FA7" w:rsidRDefault="007C2FA7" w:rsidP="007C2FA7">
      <w:pPr>
        <w:tabs>
          <w:tab w:val="left" w:pos="3060"/>
          <w:tab w:val="left" w:pos="7200"/>
          <w:tab w:val="decimal" w:pos="10710"/>
          <w:tab w:val="left" w:pos="10800"/>
          <w:tab w:val="left" w:pos="12240"/>
          <w:tab w:val="left" w:pos="12960"/>
        </w:tabs>
      </w:pPr>
      <w:r>
        <w:t>General</w:t>
      </w:r>
      <w:r>
        <w:tab/>
        <w:t>Business Brokers Corporation</w:t>
      </w:r>
      <w:r>
        <w:tab/>
        <w:t>Probation Costs</w:t>
      </w:r>
      <w:r>
        <w:tab/>
        <w:t>3,373.45</w:t>
      </w:r>
    </w:p>
    <w:p w:rsidR="007C2FA7" w:rsidRDefault="007C2FA7" w:rsidP="007C2FA7">
      <w:pPr>
        <w:tabs>
          <w:tab w:val="left" w:pos="3060"/>
          <w:tab w:val="left" w:pos="7200"/>
          <w:tab w:val="decimal" w:pos="10710"/>
          <w:tab w:val="left" w:pos="10800"/>
          <w:tab w:val="left" w:pos="12240"/>
          <w:tab w:val="left" w:pos="12960"/>
        </w:tabs>
      </w:pPr>
      <w:bookmarkStart w:id="0" w:name="_GoBack"/>
      <w:bookmarkEnd w:id="0"/>
      <w:r>
        <w:t>General</w:t>
      </w:r>
      <w:r>
        <w:tab/>
        <w:t>Colfax County Sheriff Dept.</w:t>
      </w:r>
      <w:r>
        <w:tab/>
        <w:t>Court Costs</w:t>
      </w:r>
      <w:r>
        <w:tab/>
        <w:t>116.01</w:t>
      </w:r>
    </w:p>
    <w:p w:rsidR="007C2FA7" w:rsidRDefault="007C2FA7" w:rsidP="007C2FA7">
      <w:pPr>
        <w:tabs>
          <w:tab w:val="left" w:pos="3060"/>
          <w:tab w:val="left" w:pos="7200"/>
          <w:tab w:val="decimal" w:pos="10710"/>
          <w:tab w:val="left" w:pos="10800"/>
          <w:tab w:val="left" w:pos="12240"/>
          <w:tab w:val="left" w:pos="12960"/>
        </w:tabs>
      </w:pPr>
      <w:r>
        <w:t>Weed</w:t>
      </w:r>
      <w:r>
        <w:tab/>
        <w:t>Crop Production Services</w:t>
      </w:r>
      <w:r>
        <w:tab/>
        <w:t>Weed Control</w:t>
      </w:r>
      <w:r>
        <w:tab/>
        <w:t>476.01</w:t>
      </w:r>
    </w:p>
    <w:p w:rsidR="007C2FA7" w:rsidRDefault="007C2FA7" w:rsidP="007C2FA7">
      <w:pPr>
        <w:tabs>
          <w:tab w:val="left" w:pos="3060"/>
          <w:tab w:val="left" w:pos="7200"/>
          <w:tab w:val="decimal" w:pos="10710"/>
          <w:tab w:val="left" w:pos="10800"/>
          <w:tab w:val="left" w:pos="12240"/>
          <w:tab w:val="left" w:pos="12960"/>
        </w:tabs>
      </w:pPr>
      <w:r>
        <w:t>General</w:t>
      </w:r>
      <w:r>
        <w:tab/>
        <w:t>Crossroads Awards</w:t>
      </w:r>
      <w:r>
        <w:tab/>
        <w:t>Miscellaneous</w:t>
      </w:r>
      <w:r>
        <w:tab/>
        <w:t>52.00</w:t>
      </w:r>
    </w:p>
    <w:p w:rsidR="007C2FA7" w:rsidRDefault="007C2FA7" w:rsidP="007C2FA7">
      <w:pPr>
        <w:tabs>
          <w:tab w:val="left" w:pos="3060"/>
          <w:tab w:val="left" w:pos="7200"/>
          <w:tab w:val="decimal" w:pos="10710"/>
          <w:tab w:val="left" w:pos="10800"/>
          <w:tab w:val="left" w:pos="12240"/>
          <w:tab w:val="left" w:pos="12960"/>
        </w:tabs>
      </w:pPr>
      <w:r>
        <w:t>General</w:t>
      </w:r>
      <w:r>
        <w:tab/>
        <w:t>CWC of York, Inc.</w:t>
      </w:r>
      <w:r>
        <w:tab/>
        <w:t>Office Supplies</w:t>
      </w:r>
      <w:r>
        <w:tab/>
        <w:t>18.75</w:t>
      </w:r>
    </w:p>
    <w:p w:rsidR="007C2FA7" w:rsidRDefault="007C2FA7" w:rsidP="007C2FA7">
      <w:pPr>
        <w:tabs>
          <w:tab w:val="left" w:pos="3060"/>
          <w:tab w:val="left" w:pos="7200"/>
          <w:tab w:val="decimal" w:pos="10710"/>
          <w:tab w:val="left" w:pos="10800"/>
          <w:tab w:val="left" w:pos="12240"/>
          <w:tab w:val="left" w:pos="12960"/>
        </w:tabs>
      </w:pPr>
      <w:r>
        <w:t>General</w:t>
      </w:r>
      <w:r>
        <w:tab/>
        <w:t>Discovery Benefits, Inc.</w:t>
      </w:r>
      <w:r>
        <w:tab/>
        <w:t>Cobra Monthly Payment</w:t>
      </w:r>
      <w:r>
        <w:tab/>
        <w:t>86.70</w:t>
      </w:r>
    </w:p>
    <w:p w:rsidR="007C2FA7" w:rsidRDefault="007C2FA7" w:rsidP="007C2FA7">
      <w:pPr>
        <w:tabs>
          <w:tab w:val="left" w:pos="3060"/>
          <w:tab w:val="left" w:pos="7200"/>
          <w:tab w:val="decimal" w:pos="10710"/>
          <w:tab w:val="left" w:pos="10800"/>
          <w:tab w:val="left" w:pos="12240"/>
          <w:tab w:val="left" w:pos="12960"/>
        </w:tabs>
      </w:pPr>
      <w:r>
        <w:t>General</w:t>
      </w:r>
      <w:r>
        <w:tab/>
        <w:t>Douglas County Treasurer</w:t>
      </w:r>
      <w:r>
        <w:tab/>
        <w:t>Autopsy Costs</w:t>
      </w:r>
      <w:r>
        <w:tab/>
        <w:t>711.17</w:t>
      </w:r>
    </w:p>
    <w:p w:rsidR="007C2FA7" w:rsidRDefault="007C2FA7" w:rsidP="007C2FA7">
      <w:pPr>
        <w:tabs>
          <w:tab w:val="left" w:pos="3060"/>
          <w:tab w:val="left" w:pos="7200"/>
          <w:tab w:val="decimal" w:pos="10710"/>
          <w:tab w:val="left" w:pos="10800"/>
          <w:tab w:val="left" w:pos="12240"/>
          <w:tab w:val="left" w:pos="12960"/>
        </w:tabs>
      </w:pPr>
      <w:r>
        <w:t>General</w:t>
      </w:r>
      <w:r>
        <w:tab/>
        <w:t xml:space="preserve">Eakes Office </w:t>
      </w:r>
      <w:proofErr w:type="gramStart"/>
      <w:r>
        <w:t>Plus</w:t>
      </w:r>
      <w:proofErr w:type="gramEnd"/>
      <w:r>
        <w:tab/>
        <w:t>Office Supplies</w:t>
      </w:r>
      <w:r>
        <w:tab/>
        <w:t>741.85</w:t>
      </w:r>
    </w:p>
    <w:p w:rsidR="007C2FA7" w:rsidRDefault="007C2FA7" w:rsidP="007C2FA7">
      <w:pPr>
        <w:tabs>
          <w:tab w:val="left" w:pos="3060"/>
          <w:tab w:val="left" w:pos="7200"/>
          <w:tab w:val="decimal" w:pos="10710"/>
          <w:tab w:val="left" w:pos="10800"/>
          <w:tab w:val="left" w:pos="12240"/>
          <w:tab w:val="left" w:pos="12960"/>
        </w:tabs>
      </w:pPr>
      <w:r>
        <w:t>Weed</w:t>
      </w:r>
      <w:r>
        <w:tab/>
        <w:t>Farmers Cooperative</w:t>
      </w:r>
      <w:r>
        <w:tab/>
        <w:t>Fuel</w:t>
      </w:r>
      <w:r>
        <w:tab/>
        <w:t>128.00</w:t>
      </w:r>
    </w:p>
    <w:p w:rsidR="007C2FA7" w:rsidRDefault="007C2FA7" w:rsidP="007C2FA7">
      <w:pPr>
        <w:tabs>
          <w:tab w:val="left" w:pos="3060"/>
          <w:tab w:val="left" w:pos="7200"/>
          <w:tab w:val="decimal" w:pos="10710"/>
          <w:tab w:val="left" w:pos="10800"/>
          <w:tab w:val="left" w:pos="12240"/>
          <w:tab w:val="left" w:pos="12960"/>
        </w:tabs>
      </w:pPr>
      <w:r>
        <w:t>General</w:t>
      </w:r>
      <w:r>
        <w:tab/>
        <w:t>Fillman Law Offices</w:t>
      </w:r>
      <w:r>
        <w:tab/>
        <w:t>Court Costs</w:t>
      </w:r>
      <w:r>
        <w:tab/>
        <w:t>3,839.00</w:t>
      </w:r>
    </w:p>
    <w:p w:rsidR="007C2FA7" w:rsidRDefault="007C2FA7" w:rsidP="007C2FA7">
      <w:pPr>
        <w:tabs>
          <w:tab w:val="left" w:pos="3060"/>
          <w:tab w:val="left" w:pos="7200"/>
          <w:tab w:val="decimal" w:pos="10710"/>
          <w:tab w:val="left" w:pos="10800"/>
          <w:tab w:val="left" w:pos="12240"/>
          <w:tab w:val="left" w:pos="12960"/>
        </w:tabs>
      </w:pPr>
      <w:r>
        <w:t>Road</w:t>
      </w:r>
      <w:r>
        <w:tab/>
        <w:t>Filter Care</w:t>
      </w:r>
      <w:r>
        <w:tab/>
        <w:t>Equipment Repair</w:t>
      </w:r>
      <w:r>
        <w:tab/>
        <w:t>73.50</w:t>
      </w:r>
    </w:p>
    <w:p w:rsidR="007C2FA7" w:rsidRDefault="007C2FA7" w:rsidP="007C2FA7">
      <w:pPr>
        <w:tabs>
          <w:tab w:val="left" w:pos="3060"/>
          <w:tab w:val="left" w:pos="7200"/>
          <w:tab w:val="decimal" w:pos="10710"/>
          <w:tab w:val="left" w:pos="10800"/>
          <w:tab w:val="left" w:pos="12240"/>
          <w:tab w:val="left" w:pos="12960"/>
        </w:tabs>
      </w:pPr>
      <w:r>
        <w:t>Road</w:t>
      </w:r>
      <w:r>
        <w:tab/>
        <w:t>Friesen, Kermith D</w:t>
      </w:r>
      <w:r>
        <w:tab/>
        <w:t>Reimbursement</w:t>
      </w:r>
      <w:r>
        <w:tab/>
        <w:t>28.75</w:t>
      </w:r>
    </w:p>
    <w:p w:rsidR="007C2FA7" w:rsidRDefault="007C2FA7" w:rsidP="007C2FA7">
      <w:pPr>
        <w:tabs>
          <w:tab w:val="left" w:pos="3060"/>
          <w:tab w:val="left" w:pos="7200"/>
          <w:tab w:val="decimal" w:pos="10710"/>
          <w:tab w:val="left" w:pos="10800"/>
          <w:tab w:val="left" w:pos="12240"/>
          <w:tab w:val="left" w:pos="12960"/>
        </w:tabs>
      </w:pPr>
      <w:r>
        <w:t>General</w:t>
      </w:r>
      <w:r>
        <w:tab/>
        <w:t>Galls/Quartermaster LLC</w:t>
      </w:r>
      <w:r>
        <w:tab/>
        <w:t>Uniform Allowance</w:t>
      </w:r>
      <w:r>
        <w:tab/>
        <w:t>276.86</w:t>
      </w:r>
    </w:p>
    <w:p w:rsidR="007C2FA7" w:rsidRDefault="007C2FA7" w:rsidP="007C2FA7">
      <w:pPr>
        <w:tabs>
          <w:tab w:val="left" w:pos="3060"/>
          <w:tab w:val="left" w:pos="7200"/>
          <w:tab w:val="decimal" w:pos="10710"/>
          <w:tab w:val="left" w:pos="10800"/>
          <w:tab w:val="left" w:pos="12240"/>
          <w:tab w:val="left" w:pos="12960"/>
        </w:tabs>
      </w:pPr>
      <w:r>
        <w:t>General, Rd</w:t>
      </w:r>
      <w:r>
        <w:tab/>
        <w:t>Global Tech Inc.</w:t>
      </w:r>
      <w:r>
        <w:tab/>
        <w:t>Data Processing</w:t>
      </w:r>
      <w:r>
        <w:tab/>
        <w:t>4,024.60</w:t>
      </w:r>
    </w:p>
    <w:p w:rsidR="007C2FA7" w:rsidRDefault="007C2FA7" w:rsidP="007C2FA7">
      <w:pPr>
        <w:tabs>
          <w:tab w:val="left" w:pos="3060"/>
          <w:tab w:val="left" w:pos="7200"/>
          <w:tab w:val="decimal" w:pos="10710"/>
          <w:tab w:val="left" w:pos="10800"/>
          <w:tab w:val="left" w:pos="12240"/>
          <w:tab w:val="left" w:pos="12960"/>
        </w:tabs>
      </w:pPr>
      <w:r>
        <w:t>General, Rd</w:t>
      </w:r>
      <w:r>
        <w:tab/>
        <w:t>Great Plains Pest Management, Inc.</w:t>
      </w:r>
      <w:r>
        <w:tab/>
        <w:t>Janitorial Supplies</w:t>
      </w:r>
      <w:r>
        <w:tab/>
        <w:t>128.00</w:t>
      </w:r>
    </w:p>
    <w:p w:rsidR="007C2FA7" w:rsidRDefault="007C2FA7" w:rsidP="007C2FA7">
      <w:pPr>
        <w:tabs>
          <w:tab w:val="left" w:pos="3060"/>
          <w:tab w:val="left" w:pos="7200"/>
          <w:tab w:val="decimal" w:pos="10710"/>
          <w:tab w:val="left" w:pos="10800"/>
          <w:tab w:val="left" w:pos="12240"/>
          <w:tab w:val="left" w:pos="12960"/>
        </w:tabs>
      </w:pPr>
      <w:r>
        <w:t>Aging</w:t>
      </w:r>
      <w:r>
        <w:tab/>
        <w:t>Hines, Janet K</w:t>
      </w:r>
      <w:r>
        <w:tab/>
        <w:t>Program Supplies</w:t>
      </w:r>
      <w:r>
        <w:tab/>
        <w:t>7.46</w:t>
      </w:r>
    </w:p>
    <w:p w:rsidR="007C2FA7" w:rsidRDefault="007C2FA7" w:rsidP="007C2FA7">
      <w:pPr>
        <w:tabs>
          <w:tab w:val="left" w:pos="3060"/>
          <w:tab w:val="left" w:pos="7200"/>
          <w:tab w:val="decimal" w:pos="10710"/>
          <w:tab w:val="left" w:pos="10800"/>
          <w:tab w:val="left" w:pos="12240"/>
          <w:tab w:val="left" w:pos="12960"/>
        </w:tabs>
      </w:pPr>
      <w:r>
        <w:t>General</w:t>
      </w:r>
      <w:r>
        <w:tab/>
        <w:t>Hitz Towing, Inc.</w:t>
      </w:r>
      <w:r>
        <w:tab/>
        <w:t>Fuel</w:t>
      </w:r>
      <w:r>
        <w:tab/>
        <w:t>130.00</w:t>
      </w:r>
    </w:p>
    <w:p w:rsidR="007C2FA7" w:rsidRDefault="007C2FA7" w:rsidP="007C2FA7">
      <w:pPr>
        <w:tabs>
          <w:tab w:val="left" w:pos="3060"/>
          <w:tab w:val="left" w:pos="7200"/>
          <w:tab w:val="decimal" w:pos="10710"/>
          <w:tab w:val="left" w:pos="10800"/>
          <w:tab w:val="left" w:pos="12240"/>
          <w:tab w:val="left" w:pos="12960"/>
        </w:tabs>
      </w:pPr>
      <w:r>
        <w:t>General</w:t>
      </w:r>
      <w:r>
        <w:tab/>
        <w:t>Hoblyn, Nancy</w:t>
      </w:r>
      <w:r>
        <w:tab/>
        <w:t>Mental Health Board</w:t>
      </w:r>
      <w:r>
        <w:tab/>
        <w:t>95.00</w:t>
      </w:r>
    </w:p>
    <w:p w:rsidR="007C2FA7" w:rsidRDefault="007C2FA7" w:rsidP="007C2FA7">
      <w:pPr>
        <w:tabs>
          <w:tab w:val="left" w:pos="3060"/>
          <w:tab w:val="left" w:pos="7200"/>
          <w:tab w:val="decimal" w:pos="10710"/>
          <w:tab w:val="left" w:pos="10800"/>
          <w:tab w:val="left" w:pos="12240"/>
          <w:tab w:val="left" w:pos="12960"/>
        </w:tabs>
      </w:pPr>
      <w:r>
        <w:t>General</w:t>
      </w:r>
      <w:r>
        <w:tab/>
        <w:t>Home Care Plus</w:t>
      </w:r>
      <w:r>
        <w:tab/>
        <w:t>Medical-Prisoners</w:t>
      </w:r>
      <w:r>
        <w:tab/>
        <w:t>115.50</w:t>
      </w:r>
    </w:p>
    <w:p w:rsidR="007C2FA7" w:rsidRDefault="007C2FA7" w:rsidP="007C2FA7">
      <w:pPr>
        <w:tabs>
          <w:tab w:val="left" w:pos="3060"/>
          <w:tab w:val="left" w:pos="7200"/>
          <w:tab w:val="decimal" w:pos="10710"/>
          <w:tab w:val="left" w:pos="10800"/>
          <w:tab w:val="left" w:pos="12240"/>
          <w:tab w:val="left" w:pos="12960"/>
        </w:tabs>
      </w:pPr>
      <w:r>
        <w:t>General</w:t>
      </w:r>
      <w:r>
        <w:tab/>
        <w:t>Hometown Leasing</w:t>
      </w:r>
      <w:r>
        <w:tab/>
        <w:t>Data Processing/Equip Rental</w:t>
      </w:r>
      <w:r>
        <w:tab/>
        <w:t>307.25</w:t>
      </w:r>
    </w:p>
    <w:p w:rsidR="007C2FA7" w:rsidRDefault="007C2FA7" w:rsidP="007C2FA7">
      <w:pPr>
        <w:tabs>
          <w:tab w:val="left" w:pos="3060"/>
          <w:tab w:val="left" w:pos="7200"/>
          <w:tab w:val="decimal" w:pos="10710"/>
          <w:tab w:val="left" w:pos="10800"/>
          <w:tab w:val="left" w:pos="12240"/>
          <w:tab w:val="left" w:pos="12960"/>
        </w:tabs>
      </w:pPr>
      <w:r>
        <w:t>General</w:t>
      </w:r>
      <w:r>
        <w:tab/>
        <w:t>JEO Consulting Group, Inc.</w:t>
      </w:r>
      <w:r>
        <w:tab/>
        <w:t>Hazard Mitigation</w:t>
      </w:r>
      <w:r>
        <w:tab/>
        <w:t>2,070.25</w:t>
      </w:r>
    </w:p>
    <w:p w:rsidR="007C2FA7" w:rsidRDefault="007C2FA7" w:rsidP="007C2FA7">
      <w:pPr>
        <w:tabs>
          <w:tab w:val="left" w:pos="3060"/>
          <w:tab w:val="left" w:pos="7200"/>
          <w:tab w:val="decimal" w:pos="10710"/>
          <w:tab w:val="left" w:pos="10800"/>
          <w:tab w:val="left" w:pos="12240"/>
          <w:tab w:val="left" w:pos="12960"/>
        </w:tabs>
      </w:pPr>
      <w:r>
        <w:t>General</w:t>
      </w:r>
      <w:r>
        <w:tab/>
        <w:t>JM Monograms, Inc.</w:t>
      </w:r>
      <w:r>
        <w:tab/>
        <w:t>Uniform Allowance</w:t>
      </w:r>
      <w:r>
        <w:tab/>
        <w:t>15.90</w:t>
      </w:r>
    </w:p>
    <w:p w:rsidR="007C2FA7" w:rsidRDefault="007C2FA7" w:rsidP="007C2FA7">
      <w:pPr>
        <w:tabs>
          <w:tab w:val="left" w:pos="3060"/>
          <w:tab w:val="left" w:pos="7200"/>
          <w:tab w:val="decimal" w:pos="10710"/>
          <w:tab w:val="left" w:pos="10800"/>
          <w:tab w:val="left" w:pos="12240"/>
          <w:tab w:val="left" w:pos="12960"/>
        </w:tabs>
      </w:pPr>
      <w:r>
        <w:t>Road</w:t>
      </w:r>
      <w:r>
        <w:tab/>
        <w:t>Kerford Limestone Company</w:t>
      </w:r>
      <w:r>
        <w:tab/>
        <w:t>Rock</w:t>
      </w:r>
      <w:r>
        <w:tab/>
        <w:t>3,245.55</w:t>
      </w:r>
    </w:p>
    <w:p w:rsidR="007C2FA7" w:rsidRDefault="007C2FA7" w:rsidP="007C2FA7">
      <w:pPr>
        <w:tabs>
          <w:tab w:val="left" w:pos="3060"/>
          <w:tab w:val="left" w:pos="7200"/>
          <w:tab w:val="decimal" w:pos="10710"/>
          <w:tab w:val="left" w:pos="10800"/>
          <w:tab w:val="left" w:pos="12240"/>
          <w:tab w:val="left" w:pos="12960"/>
        </w:tabs>
      </w:pPr>
      <w:r>
        <w:t>General</w:t>
      </w:r>
      <w:r>
        <w:tab/>
        <w:t>Lancaster County Sheriff</w:t>
      </w:r>
      <w:r>
        <w:tab/>
        <w:t>Court Costs</w:t>
      </w:r>
      <w:r>
        <w:tab/>
        <w:t>19.82</w:t>
      </w:r>
    </w:p>
    <w:p w:rsidR="007C2FA7" w:rsidRDefault="007C2FA7" w:rsidP="007C2FA7">
      <w:pPr>
        <w:tabs>
          <w:tab w:val="left" w:pos="3060"/>
          <w:tab w:val="left" w:pos="7200"/>
          <w:tab w:val="decimal" w:pos="10710"/>
          <w:tab w:val="left" w:pos="10800"/>
          <w:tab w:val="left" w:pos="12240"/>
          <w:tab w:val="left" w:pos="12960"/>
        </w:tabs>
      </w:pPr>
      <w:r>
        <w:t>General</w:t>
      </w:r>
      <w:r>
        <w:tab/>
        <w:t xml:space="preserve">Mid-American Research Chemical </w:t>
      </w:r>
      <w:r>
        <w:tab/>
        <w:t>Janitorial Supplies</w:t>
      </w:r>
      <w:r>
        <w:tab/>
        <w:t>150.36</w:t>
      </w:r>
    </w:p>
    <w:p w:rsidR="007C2FA7" w:rsidRDefault="007C2FA7" w:rsidP="007C2FA7">
      <w:pPr>
        <w:tabs>
          <w:tab w:val="left" w:pos="3060"/>
          <w:tab w:val="left" w:pos="7200"/>
          <w:tab w:val="decimal" w:pos="10710"/>
          <w:tab w:val="left" w:pos="10800"/>
          <w:tab w:val="left" w:pos="12240"/>
          <w:tab w:val="left" w:pos="12960"/>
        </w:tabs>
      </w:pPr>
      <w:r>
        <w:t>Aging</w:t>
      </w:r>
      <w:r>
        <w:tab/>
        <w:t>Merklinger, Jerri A</w:t>
      </w:r>
      <w:r>
        <w:tab/>
        <w:t>Reimbursement</w:t>
      </w:r>
      <w:r>
        <w:tab/>
        <w:t>172.50</w:t>
      </w:r>
    </w:p>
    <w:p w:rsidR="007C2FA7" w:rsidRDefault="007C2FA7" w:rsidP="007C2FA7">
      <w:pPr>
        <w:tabs>
          <w:tab w:val="left" w:pos="3060"/>
          <w:tab w:val="left" w:pos="7200"/>
          <w:tab w:val="decimal" w:pos="10710"/>
          <w:tab w:val="left" w:pos="10800"/>
          <w:tab w:val="left" w:pos="12240"/>
          <w:tab w:val="left" w:pos="12960"/>
        </w:tabs>
      </w:pPr>
      <w:r>
        <w:t>Weed</w:t>
      </w:r>
      <w:r>
        <w:tab/>
        <w:t>Miller Seed &amp; Supply Co., Inc.</w:t>
      </w:r>
      <w:r>
        <w:tab/>
        <w:t>Fuel</w:t>
      </w:r>
      <w:r>
        <w:tab/>
        <w:t>7.95</w:t>
      </w:r>
    </w:p>
    <w:p w:rsidR="007C2FA7" w:rsidRDefault="007C2FA7" w:rsidP="007C2FA7">
      <w:pPr>
        <w:tabs>
          <w:tab w:val="left" w:pos="3060"/>
          <w:tab w:val="left" w:pos="7200"/>
          <w:tab w:val="decimal" w:pos="10710"/>
          <w:tab w:val="left" w:pos="10800"/>
          <w:tab w:val="left" w:pos="12240"/>
          <w:tab w:val="left" w:pos="12960"/>
        </w:tabs>
      </w:pPr>
      <w:r>
        <w:t>General</w:t>
      </w:r>
      <w:r>
        <w:tab/>
        <w:t>NE Dept of Health &amp; Human Services</w:t>
      </w:r>
      <w:r>
        <w:tab/>
        <w:t>Medical-Prisoners</w:t>
      </w:r>
      <w:r>
        <w:tab/>
        <w:t>18.00</w:t>
      </w:r>
    </w:p>
    <w:p w:rsidR="007C2FA7" w:rsidRDefault="007C2FA7" w:rsidP="007C2FA7">
      <w:pPr>
        <w:tabs>
          <w:tab w:val="left" w:pos="3060"/>
          <w:tab w:val="left" w:pos="7200"/>
          <w:tab w:val="decimal" w:pos="10710"/>
          <w:tab w:val="left" w:pos="10800"/>
          <w:tab w:val="left" w:pos="12240"/>
          <w:tab w:val="left" w:pos="12960"/>
        </w:tabs>
      </w:pPr>
      <w:r>
        <w:t>State Institute</w:t>
      </w:r>
      <w:r>
        <w:tab/>
        <w:t>NE Health and Human Services</w:t>
      </w:r>
      <w:r>
        <w:tab/>
        <w:t>Monthly Payment</w:t>
      </w:r>
      <w:r>
        <w:tab/>
        <w:t>489.00</w:t>
      </w:r>
    </w:p>
    <w:p w:rsidR="007C2FA7" w:rsidRDefault="007C2FA7" w:rsidP="007C2FA7">
      <w:pPr>
        <w:tabs>
          <w:tab w:val="left" w:pos="3060"/>
          <w:tab w:val="left" w:pos="7200"/>
          <w:tab w:val="decimal" w:pos="10710"/>
          <w:tab w:val="left" w:pos="10800"/>
          <w:tab w:val="left" w:pos="12240"/>
          <w:tab w:val="left" w:pos="12960"/>
        </w:tabs>
      </w:pPr>
      <w:r>
        <w:t>General</w:t>
      </w:r>
      <w:r>
        <w:tab/>
        <w:t>NE Public Power District</w:t>
      </w:r>
      <w:r>
        <w:tab/>
        <w:t>Electricity</w:t>
      </w:r>
      <w:r>
        <w:tab/>
        <w:t>6,645.21</w:t>
      </w:r>
    </w:p>
    <w:p w:rsidR="007C2FA7" w:rsidRDefault="007C2FA7" w:rsidP="007C2FA7">
      <w:pPr>
        <w:tabs>
          <w:tab w:val="left" w:pos="3060"/>
          <w:tab w:val="left" w:pos="7200"/>
          <w:tab w:val="decimal" w:pos="10710"/>
          <w:tab w:val="left" w:pos="10800"/>
          <w:tab w:val="left" w:pos="12240"/>
          <w:tab w:val="left" w:pos="12960"/>
        </w:tabs>
      </w:pPr>
      <w:r>
        <w:t>Road</w:t>
      </w:r>
      <w:r>
        <w:tab/>
        <w:t>NE Salt &amp; Grain Co.</w:t>
      </w:r>
      <w:r>
        <w:tab/>
        <w:t>Road Equipment</w:t>
      </w:r>
      <w:r>
        <w:tab/>
        <w:t>4,710.00</w:t>
      </w:r>
    </w:p>
    <w:p w:rsidR="007C2FA7" w:rsidRDefault="007C2FA7" w:rsidP="007C2FA7">
      <w:pPr>
        <w:tabs>
          <w:tab w:val="left" w:pos="3060"/>
          <w:tab w:val="left" w:pos="7200"/>
          <w:tab w:val="decimal" w:pos="10710"/>
          <w:tab w:val="left" w:pos="10800"/>
          <w:tab w:val="left" w:pos="12240"/>
          <w:tab w:val="left" w:pos="12960"/>
        </w:tabs>
      </w:pPr>
      <w:r>
        <w:t>General</w:t>
      </w:r>
      <w:r>
        <w:tab/>
        <w:t>O’Keefe Elevator Company, Inc.</w:t>
      </w:r>
      <w:r>
        <w:tab/>
        <w:t>Maintenance Agreement</w:t>
      </w:r>
      <w:r>
        <w:tab/>
        <w:t>385.47</w:t>
      </w:r>
    </w:p>
    <w:p w:rsidR="007C2FA7" w:rsidRDefault="007C2FA7" w:rsidP="007C2FA7">
      <w:pPr>
        <w:tabs>
          <w:tab w:val="left" w:pos="3060"/>
          <w:tab w:val="left" w:pos="7200"/>
          <w:tab w:val="decimal" w:pos="10710"/>
          <w:tab w:val="left" w:pos="10800"/>
          <w:tab w:val="left" w:pos="12240"/>
          <w:tab w:val="left" w:pos="12960"/>
        </w:tabs>
      </w:pPr>
      <w:r>
        <w:t>General, Rd</w:t>
      </w:r>
      <w:r>
        <w:tab/>
        <w:t>Perennial Public Power District</w:t>
      </w:r>
      <w:r>
        <w:tab/>
        <w:t>Electricity</w:t>
      </w:r>
      <w:r>
        <w:tab/>
        <w:t>200.00</w:t>
      </w:r>
    </w:p>
    <w:p w:rsidR="007C2FA7" w:rsidRDefault="007C2FA7" w:rsidP="007C2FA7">
      <w:pPr>
        <w:tabs>
          <w:tab w:val="left" w:pos="3060"/>
          <w:tab w:val="left" w:pos="7200"/>
          <w:tab w:val="decimal" w:pos="10710"/>
          <w:tab w:val="left" w:pos="10800"/>
          <w:tab w:val="left" w:pos="12240"/>
          <w:tab w:val="left" w:pos="12960"/>
        </w:tabs>
      </w:pPr>
      <w:r>
        <w:t>Road</w:t>
      </w:r>
      <w:r>
        <w:tab/>
        <w:t>Petro Lube/TA Operating LLC</w:t>
      </w:r>
      <w:r>
        <w:tab/>
        <w:t>Equipment Repair/Fuel</w:t>
      </w:r>
      <w:r>
        <w:tab/>
        <w:t>847.55</w:t>
      </w:r>
    </w:p>
    <w:p w:rsidR="007C2FA7" w:rsidRDefault="007C2FA7" w:rsidP="007C2FA7">
      <w:pPr>
        <w:tabs>
          <w:tab w:val="left" w:pos="3060"/>
          <w:tab w:val="left" w:pos="7200"/>
          <w:tab w:val="decimal" w:pos="10710"/>
          <w:tab w:val="left" w:pos="10800"/>
          <w:tab w:val="left" w:pos="12240"/>
          <w:tab w:val="left" w:pos="12960"/>
        </w:tabs>
      </w:pPr>
      <w:r>
        <w:t>General</w:t>
      </w:r>
      <w:r>
        <w:tab/>
        <w:t>Phoenix Supply, LLC</w:t>
      </w:r>
      <w:r>
        <w:tab/>
        <w:t>Equipment</w:t>
      </w:r>
      <w:r>
        <w:tab/>
        <w:t>575.40</w:t>
      </w:r>
    </w:p>
    <w:p w:rsidR="007C2FA7" w:rsidRDefault="007C2FA7" w:rsidP="007C2FA7">
      <w:pPr>
        <w:tabs>
          <w:tab w:val="left" w:pos="3060"/>
          <w:tab w:val="left" w:pos="7200"/>
          <w:tab w:val="decimal" w:pos="10710"/>
          <w:tab w:val="left" w:pos="10800"/>
          <w:tab w:val="left" w:pos="12240"/>
          <w:tab w:val="left" w:pos="12960"/>
        </w:tabs>
      </w:pPr>
      <w:r>
        <w:t>General</w:t>
      </w:r>
      <w:r>
        <w:tab/>
        <w:t>Physicians Laboratory Services PC</w:t>
      </w:r>
      <w:r>
        <w:tab/>
        <w:t>Autopsy Costs</w:t>
      </w:r>
      <w:r>
        <w:tab/>
        <w:t>940.00</w:t>
      </w:r>
    </w:p>
    <w:p w:rsidR="007C2FA7" w:rsidRDefault="007C2FA7" w:rsidP="007C2FA7">
      <w:pPr>
        <w:tabs>
          <w:tab w:val="left" w:pos="3060"/>
          <w:tab w:val="left" w:pos="7200"/>
          <w:tab w:val="decimal" w:pos="10710"/>
          <w:tab w:val="left" w:pos="10800"/>
          <w:tab w:val="left" w:pos="12240"/>
          <w:tab w:val="left" w:pos="12960"/>
        </w:tabs>
      </w:pPr>
      <w:r>
        <w:t>General</w:t>
      </w:r>
      <w:r>
        <w:tab/>
        <w:t>Pieper Plumbing &amp; Well Drilling Inc.</w:t>
      </w:r>
      <w:r>
        <w:tab/>
        <w:t>Equipment</w:t>
      </w:r>
      <w:r>
        <w:tab/>
        <w:t>229.99</w:t>
      </w:r>
    </w:p>
    <w:p w:rsidR="007C2FA7" w:rsidRDefault="007C2FA7" w:rsidP="007C2FA7">
      <w:pPr>
        <w:tabs>
          <w:tab w:val="left" w:pos="3060"/>
          <w:tab w:val="left" w:pos="7200"/>
          <w:tab w:val="decimal" w:pos="10710"/>
          <w:tab w:val="left" w:pos="10800"/>
          <w:tab w:val="left" w:pos="12240"/>
          <w:tab w:val="left" w:pos="12960"/>
        </w:tabs>
      </w:pPr>
      <w:r>
        <w:t>General</w:t>
      </w:r>
      <w:r>
        <w:tab/>
        <w:t>Platte County Sheriff Dept.</w:t>
      </w:r>
      <w:r>
        <w:tab/>
        <w:t>Court Costs</w:t>
      </w:r>
      <w:r>
        <w:tab/>
        <w:t>37.36</w:t>
      </w:r>
    </w:p>
    <w:p w:rsidR="007C2FA7" w:rsidRDefault="007C2FA7" w:rsidP="007C2FA7">
      <w:pPr>
        <w:tabs>
          <w:tab w:val="left" w:pos="3060"/>
          <w:tab w:val="left" w:pos="7200"/>
          <w:tab w:val="decimal" w:pos="10710"/>
          <w:tab w:val="left" w:pos="10800"/>
          <w:tab w:val="left" w:pos="12240"/>
          <w:tab w:val="left" w:pos="12960"/>
        </w:tabs>
      </w:pPr>
      <w:r>
        <w:t>General</w:t>
      </w:r>
      <w:r>
        <w:tab/>
        <w:t>Polk County Sheriff</w:t>
      </w:r>
      <w:r>
        <w:tab/>
        <w:t>Court Costs</w:t>
      </w:r>
      <w:r>
        <w:tab/>
        <w:t>32.62</w:t>
      </w:r>
    </w:p>
    <w:p w:rsidR="007C2FA7" w:rsidRDefault="007C2FA7" w:rsidP="007C2FA7">
      <w:pPr>
        <w:tabs>
          <w:tab w:val="left" w:pos="3060"/>
          <w:tab w:val="left" w:pos="7200"/>
          <w:tab w:val="decimal" w:pos="10710"/>
          <w:tab w:val="left" w:pos="10800"/>
          <w:tab w:val="left" w:pos="12240"/>
          <w:tab w:val="left" w:pos="12960"/>
        </w:tabs>
      </w:pPr>
      <w:r>
        <w:t>State Institute</w:t>
      </w:r>
      <w:r>
        <w:tab/>
        <w:t>Region V Systems</w:t>
      </w:r>
      <w:r>
        <w:tab/>
        <w:t>Miscellaneous</w:t>
      </w:r>
      <w:r>
        <w:tab/>
        <w:t>955.00</w:t>
      </w:r>
    </w:p>
    <w:p w:rsidR="007C2FA7" w:rsidRDefault="007C2FA7" w:rsidP="007C2FA7">
      <w:pPr>
        <w:tabs>
          <w:tab w:val="left" w:pos="3060"/>
          <w:tab w:val="left" w:pos="7200"/>
          <w:tab w:val="decimal" w:pos="10710"/>
          <w:tab w:val="left" w:pos="10800"/>
          <w:tab w:val="left" w:pos="12240"/>
          <w:tab w:val="left" w:pos="12960"/>
        </w:tabs>
      </w:pPr>
      <w:r>
        <w:t>Road</w:t>
      </w:r>
      <w:r>
        <w:tab/>
        <w:t>Road Builders Machinery &amp; Supply Co.</w:t>
      </w:r>
      <w:r>
        <w:tab/>
        <w:t>Equipment Repair</w:t>
      </w:r>
      <w:r>
        <w:tab/>
        <w:t>82.05</w:t>
      </w:r>
    </w:p>
    <w:p w:rsidR="007C2FA7" w:rsidRDefault="007C2FA7" w:rsidP="007C2FA7">
      <w:pPr>
        <w:tabs>
          <w:tab w:val="left" w:pos="3060"/>
          <w:tab w:val="left" w:pos="7200"/>
          <w:tab w:val="decimal" w:pos="10710"/>
          <w:tab w:val="left" w:pos="10800"/>
          <w:tab w:val="left" w:pos="12240"/>
          <w:tab w:val="left" w:pos="12960"/>
        </w:tabs>
      </w:pPr>
      <w:r>
        <w:t>General</w:t>
      </w:r>
      <w:r>
        <w:tab/>
        <w:t>Schlender, Kevin</w:t>
      </w:r>
      <w:r>
        <w:tab/>
        <w:t>Mental Health Board</w:t>
      </w:r>
      <w:r>
        <w:tab/>
        <w:t>95.00</w:t>
      </w:r>
    </w:p>
    <w:p w:rsidR="007C2FA7" w:rsidRDefault="007C2FA7" w:rsidP="007C2FA7">
      <w:pPr>
        <w:tabs>
          <w:tab w:val="left" w:pos="3060"/>
          <w:tab w:val="left" w:pos="7200"/>
          <w:tab w:val="decimal" w:pos="10710"/>
          <w:tab w:val="left" w:pos="10800"/>
          <w:tab w:val="left" w:pos="12240"/>
          <w:tab w:val="left" w:pos="12960"/>
        </w:tabs>
      </w:pPr>
      <w:proofErr w:type="gramStart"/>
      <w:r>
        <w:t>Aging</w:t>
      </w:r>
      <w:r>
        <w:tab/>
        <w:t>Spartan Stores, LLC.</w:t>
      </w:r>
      <w:proofErr w:type="gramEnd"/>
      <w:r>
        <w:tab/>
        <w:t>Health Promotion</w:t>
      </w:r>
      <w:r>
        <w:tab/>
        <w:t>1,904.49</w:t>
      </w:r>
    </w:p>
    <w:p w:rsidR="007C2FA7" w:rsidRDefault="007C2FA7" w:rsidP="007C2FA7">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7C2FA7" w:rsidRDefault="007C2FA7" w:rsidP="007C2FA7">
      <w:pPr>
        <w:tabs>
          <w:tab w:val="left" w:pos="3060"/>
          <w:tab w:val="left" w:pos="7200"/>
          <w:tab w:val="decimal" w:pos="10710"/>
          <w:tab w:val="left" w:pos="10800"/>
          <w:tab w:val="left" w:pos="12240"/>
          <w:tab w:val="left" w:pos="12960"/>
        </w:tabs>
      </w:pPr>
      <w:r>
        <w:t>General</w:t>
      </w:r>
      <w:r>
        <w:tab/>
        <w:t>State of NE/DAS Central Finance</w:t>
      </w:r>
      <w:r>
        <w:tab/>
        <w:t>Data Processing</w:t>
      </w:r>
      <w:r>
        <w:tab/>
        <w:t>168.39</w:t>
      </w:r>
    </w:p>
    <w:p w:rsidR="007C2FA7" w:rsidRDefault="007C2FA7" w:rsidP="007C2FA7">
      <w:pPr>
        <w:tabs>
          <w:tab w:val="left" w:pos="3060"/>
          <w:tab w:val="left" w:pos="7200"/>
          <w:tab w:val="decimal" w:pos="10710"/>
          <w:tab w:val="left" w:pos="10800"/>
          <w:tab w:val="left" w:pos="12240"/>
          <w:tab w:val="left" w:pos="12960"/>
        </w:tabs>
      </w:pPr>
      <w:r>
        <w:t>General</w:t>
      </w:r>
      <w:r>
        <w:tab/>
        <w:t xml:space="preserve">State of NE/Dept </w:t>
      </w:r>
      <w:proofErr w:type="spellStart"/>
      <w:r>
        <w:t>Corr</w:t>
      </w:r>
      <w:proofErr w:type="spellEnd"/>
      <w:r>
        <w:t xml:space="preserve"> Svcs</w:t>
      </w:r>
      <w:r>
        <w:tab/>
        <w:t>Board of Prisoners</w:t>
      </w:r>
      <w:r>
        <w:tab/>
        <w:t>256.38</w:t>
      </w:r>
    </w:p>
    <w:p w:rsidR="007C2FA7" w:rsidRDefault="007C2FA7" w:rsidP="007C2FA7">
      <w:pPr>
        <w:tabs>
          <w:tab w:val="left" w:pos="3060"/>
          <w:tab w:val="left" w:pos="7200"/>
          <w:tab w:val="decimal" w:pos="10710"/>
          <w:tab w:val="left" w:pos="10800"/>
          <w:tab w:val="left" w:pos="12240"/>
          <w:tab w:val="left" w:pos="12960"/>
        </w:tabs>
      </w:pPr>
      <w:r>
        <w:t>General</w:t>
      </w:r>
      <w:r>
        <w:tab/>
        <w:t>Stephens Law Offices, P.C., L.L.O.</w:t>
      </w:r>
      <w:r>
        <w:tab/>
        <w:t>Court Costs</w:t>
      </w:r>
      <w:r>
        <w:tab/>
        <w:t>1,045.00</w:t>
      </w:r>
    </w:p>
    <w:p w:rsidR="007C2FA7" w:rsidRDefault="007C2FA7" w:rsidP="007C2FA7">
      <w:pPr>
        <w:tabs>
          <w:tab w:val="left" w:pos="3060"/>
          <w:tab w:val="left" w:pos="7200"/>
          <w:tab w:val="decimal" w:pos="10710"/>
          <w:tab w:val="left" w:pos="10800"/>
          <w:tab w:val="left" w:pos="12240"/>
          <w:tab w:val="left" w:pos="12960"/>
        </w:tabs>
      </w:pPr>
      <w:r>
        <w:t>General</w:t>
      </w:r>
      <w:r>
        <w:tab/>
        <w:t>Time Warner Cable</w:t>
      </w:r>
      <w:r>
        <w:tab/>
        <w:t>Internet Service</w:t>
      </w:r>
      <w:r>
        <w:tab/>
        <w:t>760.00</w:t>
      </w:r>
    </w:p>
    <w:p w:rsidR="007C2FA7" w:rsidRDefault="007C2FA7" w:rsidP="007C2FA7">
      <w:pPr>
        <w:tabs>
          <w:tab w:val="left" w:pos="3060"/>
          <w:tab w:val="left" w:pos="7200"/>
          <w:tab w:val="decimal" w:pos="10710"/>
          <w:tab w:val="left" w:pos="10800"/>
          <w:tab w:val="left" w:pos="12240"/>
          <w:tab w:val="left" w:pos="12960"/>
        </w:tabs>
      </w:pPr>
      <w:r>
        <w:t>General</w:t>
      </w:r>
      <w:r>
        <w:tab/>
        <w:t>Trans Union Risk and Alternative</w:t>
      </w:r>
      <w:r>
        <w:tab/>
        <w:t>Equipment</w:t>
      </w:r>
      <w:r>
        <w:tab/>
        <w:t>110.00</w:t>
      </w:r>
    </w:p>
    <w:p w:rsidR="007C2FA7" w:rsidRDefault="007C2FA7" w:rsidP="007C2FA7">
      <w:pPr>
        <w:tabs>
          <w:tab w:val="left" w:pos="3060"/>
          <w:tab w:val="left" w:pos="7200"/>
          <w:tab w:val="decimal" w:pos="10710"/>
          <w:tab w:val="left" w:pos="10800"/>
          <w:tab w:val="left" w:pos="12240"/>
          <w:tab w:val="left" w:pos="12960"/>
        </w:tabs>
      </w:pPr>
      <w:r>
        <w:t>Road</w:t>
      </w:r>
      <w:r>
        <w:tab/>
        <w:t>Verizon Wireless Services LLC</w:t>
      </w:r>
      <w:r>
        <w:tab/>
        <w:t>Telephone Service</w:t>
      </w:r>
      <w:r>
        <w:tab/>
        <w:t>22.48</w:t>
      </w:r>
    </w:p>
    <w:p w:rsidR="007C2FA7" w:rsidRDefault="007C2FA7" w:rsidP="007C2FA7">
      <w:pPr>
        <w:tabs>
          <w:tab w:val="left" w:pos="3060"/>
          <w:tab w:val="left" w:pos="7200"/>
          <w:tab w:val="decimal" w:pos="10710"/>
          <w:tab w:val="left" w:pos="10800"/>
          <w:tab w:val="left" w:pos="12240"/>
          <w:tab w:val="left" w:pos="12960"/>
        </w:tabs>
      </w:pPr>
      <w:r>
        <w:t>General</w:t>
      </w:r>
      <w:r>
        <w:tab/>
        <w:t>Windstream Communications</w:t>
      </w:r>
      <w:r>
        <w:tab/>
        <w:t>Telephone Service</w:t>
      </w:r>
      <w:r>
        <w:tab/>
        <w:t>170.45</w:t>
      </w:r>
    </w:p>
    <w:p w:rsidR="007C2FA7" w:rsidRDefault="007C2FA7" w:rsidP="007C2FA7">
      <w:pPr>
        <w:tabs>
          <w:tab w:val="left" w:pos="3060"/>
          <w:tab w:val="left" w:pos="7200"/>
          <w:tab w:val="decimal" w:pos="10710"/>
          <w:tab w:val="left" w:pos="10800"/>
          <w:tab w:val="left" w:pos="12240"/>
          <w:tab w:val="left" w:pos="12960"/>
        </w:tabs>
      </w:pPr>
      <w:r>
        <w:t>General</w:t>
      </w:r>
      <w:r>
        <w:tab/>
        <w:t>JS Wurm &amp; Associates</w:t>
      </w:r>
      <w:r>
        <w:tab/>
        <w:t>Mental Health Board</w:t>
      </w:r>
      <w:r>
        <w:tab/>
        <w:t>75.00</w:t>
      </w:r>
    </w:p>
    <w:p w:rsidR="007C2FA7" w:rsidRDefault="007C2FA7" w:rsidP="007C2FA7">
      <w:pPr>
        <w:tabs>
          <w:tab w:val="left" w:pos="3060"/>
          <w:tab w:val="left" w:pos="7200"/>
          <w:tab w:val="decimal" w:pos="10710"/>
          <w:tab w:val="left" w:pos="10800"/>
          <w:tab w:val="left" w:pos="12240"/>
          <w:tab w:val="left" w:pos="12960"/>
        </w:tabs>
      </w:pPr>
      <w:r>
        <w:t>General</w:t>
      </w:r>
      <w:r>
        <w:tab/>
        <w:t>York County Court</w:t>
      </w:r>
      <w:r>
        <w:tab/>
        <w:t>Court Costs</w:t>
      </w:r>
      <w:r>
        <w:tab/>
        <w:t>422.18</w:t>
      </w:r>
    </w:p>
    <w:p w:rsidR="007C2FA7" w:rsidRDefault="007C2FA7" w:rsidP="007C2FA7">
      <w:pPr>
        <w:tabs>
          <w:tab w:val="left" w:pos="3060"/>
          <w:tab w:val="left" w:pos="7200"/>
          <w:tab w:val="decimal" w:pos="10710"/>
          <w:tab w:val="left" w:pos="10800"/>
          <w:tab w:val="left" w:pos="12240"/>
          <w:tab w:val="left" w:pos="12960"/>
        </w:tabs>
      </w:pPr>
      <w:r>
        <w:t>Weed</w:t>
      </w:r>
      <w:r>
        <w:tab/>
        <w:t>York County Highway Dept.</w:t>
      </w:r>
      <w:r>
        <w:tab/>
        <w:t>Fuel</w:t>
      </w:r>
      <w:r>
        <w:tab/>
        <w:t>363.50</w:t>
      </w:r>
    </w:p>
    <w:p w:rsidR="007C2FA7" w:rsidRDefault="007C2FA7" w:rsidP="007C2FA7">
      <w:pPr>
        <w:tabs>
          <w:tab w:val="left" w:pos="3060"/>
          <w:tab w:val="left" w:pos="7200"/>
          <w:tab w:val="decimal" w:pos="10710"/>
          <w:tab w:val="left" w:pos="10800"/>
          <w:tab w:val="left" w:pos="12240"/>
          <w:tab w:val="left" w:pos="12960"/>
        </w:tabs>
      </w:pPr>
      <w:r>
        <w:t>General</w:t>
      </w:r>
      <w:r>
        <w:tab/>
        <w:t>York County Sheriff</w:t>
      </w:r>
      <w:r>
        <w:tab/>
        <w:t>Miscellaneous</w:t>
      </w:r>
      <w:r>
        <w:tab/>
        <w:t>2,074.06</w:t>
      </w:r>
    </w:p>
    <w:p w:rsidR="007C2FA7" w:rsidRDefault="007C2FA7" w:rsidP="007C2FA7">
      <w:pPr>
        <w:tabs>
          <w:tab w:val="left" w:pos="3060"/>
          <w:tab w:val="left" w:pos="7200"/>
          <w:tab w:val="decimal" w:pos="10710"/>
          <w:tab w:val="left" w:pos="10800"/>
          <w:tab w:val="left" w:pos="12240"/>
          <w:tab w:val="left" w:pos="12960"/>
        </w:tabs>
      </w:pPr>
      <w:r>
        <w:t>Weed</w:t>
      </w:r>
      <w:r>
        <w:tab/>
        <w:t>York Farm Supply LLC</w:t>
      </w:r>
      <w:r>
        <w:tab/>
        <w:t>Fuel</w:t>
      </w:r>
      <w:r>
        <w:tab/>
        <w:t>38.14</w:t>
      </w:r>
    </w:p>
    <w:p w:rsidR="007C2FA7" w:rsidRDefault="007C2FA7" w:rsidP="007C2FA7">
      <w:pPr>
        <w:tabs>
          <w:tab w:val="left" w:pos="3060"/>
          <w:tab w:val="left" w:pos="7200"/>
          <w:tab w:val="decimal" w:pos="10710"/>
          <w:tab w:val="left" w:pos="10800"/>
          <w:tab w:val="left" w:pos="12240"/>
          <w:tab w:val="left" w:pos="12960"/>
        </w:tabs>
      </w:pPr>
      <w:r>
        <w:t>General</w:t>
      </w:r>
      <w:r>
        <w:tab/>
        <w:t>York General Hospital</w:t>
      </w:r>
      <w:r>
        <w:tab/>
        <w:t>Medical-Prisoners</w:t>
      </w:r>
      <w:r>
        <w:tab/>
        <w:t>158.00</w:t>
      </w:r>
    </w:p>
    <w:p w:rsidR="007C2FA7" w:rsidRDefault="007C2FA7" w:rsidP="007C2FA7">
      <w:pPr>
        <w:tabs>
          <w:tab w:val="left" w:pos="3060"/>
          <w:tab w:val="left" w:pos="7200"/>
          <w:tab w:val="decimal" w:pos="10710"/>
          <w:tab w:val="left" w:pos="10800"/>
          <w:tab w:val="left" w:pos="12240"/>
          <w:tab w:val="left" w:pos="12960"/>
        </w:tabs>
      </w:pPr>
      <w:r>
        <w:t>Aging</w:t>
      </w:r>
      <w:r>
        <w:tab/>
        <w:t>York Printing Company, LLC</w:t>
      </w:r>
      <w:r>
        <w:tab/>
        <w:t>Printing &amp; Publication</w:t>
      </w:r>
      <w:r>
        <w:tab/>
        <w:t>176.90</w:t>
      </w:r>
    </w:p>
    <w:p w:rsidR="007C2FA7" w:rsidRDefault="007C2FA7" w:rsidP="007C2FA7">
      <w:pPr>
        <w:tabs>
          <w:tab w:val="left" w:pos="3060"/>
          <w:tab w:val="left" w:pos="7200"/>
          <w:tab w:val="decimal" w:pos="10710"/>
          <w:tab w:val="left" w:pos="10800"/>
          <w:tab w:val="left" w:pos="12240"/>
          <w:tab w:val="left" w:pos="12960"/>
        </w:tabs>
      </w:pPr>
    </w:p>
    <w:p w:rsidR="008174D0" w:rsidRDefault="008174D0" w:rsidP="00F67E41">
      <w:pPr>
        <w:ind w:left="0"/>
      </w:pPr>
    </w:p>
    <w:p w:rsidR="008174D0" w:rsidRDefault="008174D0" w:rsidP="008174D0">
      <w:pPr>
        <w:ind w:left="0"/>
      </w:pPr>
      <w:r>
        <w:t>Moved by Bulgrin, seconded by Buller, to adopt Resolution #15-58 Outlining Distributions of Transfer monies to the Weed Department, Road Department and Area on Aging Department, roll call; yeas, Bulgrin, Buller, Obermier, Sikes and Bamesberger, nays none, motion carried.</w:t>
      </w:r>
    </w:p>
    <w:p w:rsidR="00750C91" w:rsidRDefault="00750C91" w:rsidP="00F67E41">
      <w:pPr>
        <w:ind w:left="0"/>
      </w:pPr>
    </w:p>
    <w:p w:rsidR="00926F05" w:rsidRPr="00881D05" w:rsidRDefault="00926F05" w:rsidP="00926F05">
      <w:pPr>
        <w:jc w:val="center"/>
      </w:pPr>
      <w:r>
        <w:t>Resolution #15-58</w:t>
      </w:r>
    </w:p>
    <w:p w:rsidR="00926F05" w:rsidRPr="00881D05" w:rsidRDefault="00926F05" w:rsidP="00926F05">
      <w:r w:rsidRPr="00881D05">
        <w:tab/>
        <w:t xml:space="preserve">WHEREAS, the York County Treasurer has presented to the York County Board of Commissioners on September </w:t>
      </w:r>
      <w:r>
        <w:t>1</w:t>
      </w:r>
      <w:r w:rsidRPr="00881D05">
        <w:t>, 201</w:t>
      </w:r>
      <w:r>
        <w:t>5</w:t>
      </w:r>
      <w:r w:rsidRPr="00881D05">
        <w:t>, outlining for distribution of dates and transfer monies to the Weed Department</w:t>
      </w:r>
      <w:r>
        <w:t>, Road Department</w:t>
      </w:r>
      <w:r w:rsidRPr="00881D05">
        <w:t xml:space="preserve"> and the Area on Aging, and</w:t>
      </w:r>
    </w:p>
    <w:p w:rsidR="00926F05" w:rsidRPr="00881D05" w:rsidRDefault="00926F05" w:rsidP="00926F05"/>
    <w:p w:rsidR="00926F05" w:rsidRPr="00881D05" w:rsidRDefault="00926F05" w:rsidP="00926F05">
      <w:r w:rsidRPr="00881D05">
        <w:tab/>
        <w:t>WHEREAS, the Weed Department have already this fiscal year distributed $</w:t>
      </w:r>
      <w:r>
        <w:t>12</w:t>
      </w:r>
      <w:r w:rsidRPr="00881D05">
        <w:t>,000.00 of their $</w:t>
      </w:r>
      <w:r>
        <w:t>71,995.43</w:t>
      </w:r>
      <w:r w:rsidRPr="00881D05">
        <w:t>, Area on Aging</w:t>
      </w:r>
      <w:r>
        <w:t xml:space="preserve"> and Road Department</w:t>
      </w:r>
      <w:r w:rsidRPr="00881D05">
        <w:t xml:space="preserve"> have not distributed anything this fiscal year, and</w:t>
      </w:r>
    </w:p>
    <w:p w:rsidR="00926F05" w:rsidRPr="00881D05" w:rsidRDefault="00926F05" w:rsidP="00926F05"/>
    <w:p w:rsidR="00926F05" w:rsidRPr="00881D05" w:rsidRDefault="00926F05" w:rsidP="00926F05">
      <w:r w:rsidRPr="00881D05">
        <w:tab/>
        <w:t>WHEREAS, the County Board of York County have issue the Treasurer to use the dates and transfer monies that were brought forth, and</w:t>
      </w:r>
    </w:p>
    <w:p w:rsidR="00926F05" w:rsidRPr="00881D05" w:rsidRDefault="00926F05" w:rsidP="00926F05"/>
    <w:p w:rsidR="00926F05" w:rsidRPr="00881D05" w:rsidRDefault="00926F05" w:rsidP="00926F05">
      <w:r w:rsidRPr="00881D05">
        <w:lastRenderedPageBreak/>
        <w:tab/>
        <w:t>NOW THEREFORE BE IT RESOLVED, that the County Treasurer of York County is hereby directed to issue to the Weed Department</w:t>
      </w:r>
      <w:r>
        <w:t>, Road Department</w:t>
      </w:r>
      <w:r w:rsidRPr="00881D05">
        <w:t xml:space="preserve"> and Area on Aging Department the outlining distributions of transfer monies on the following dates,</w:t>
      </w:r>
    </w:p>
    <w:p w:rsidR="00926F05" w:rsidRPr="00881D05" w:rsidRDefault="00926F05" w:rsidP="00926F05"/>
    <w:p w:rsidR="00926F05" w:rsidRPr="00881D05" w:rsidRDefault="00926F05" w:rsidP="00926F05">
      <w:r w:rsidRPr="00881D05">
        <w:t>Weed Department</w:t>
      </w:r>
    </w:p>
    <w:p w:rsidR="00926F05" w:rsidRPr="00881D05" w:rsidRDefault="00926F05" w:rsidP="00926F05">
      <w:r w:rsidRPr="00881D05">
        <w:t>September 201</w:t>
      </w:r>
      <w:r>
        <w:t>5</w:t>
      </w:r>
      <w:r w:rsidRPr="00881D05">
        <w:tab/>
      </w:r>
      <w:r w:rsidRPr="00881D05">
        <w:tab/>
        <w:t>$1</w:t>
      </w:r>
      <w:r>
        <w:t>4,998.86</w:t>
      </w:r>
    </w:p>
    <w:p w:rsidR="00926F05" w:rsidRPr="00881D05" w:rsidRDefault="00926F05" w:rsidP="00926F05">
      <w:r w:rsidRPr="00881D05">
        <w:t>November 201</w:t>
      </w:r>
      <w:r>
        <w:t>5</w:t>
      </w:r>
      <w:r w:rsidRPr="00881D05">
        <w:tab/>
      </w:r>
      <w:r w:rsidRPr="00881D05">
        <w:tab/>
        <w:t>$1</w:t>
      </w:r>
      <w:r>
        <w:t>4,998.86</w:t>
      </w:r>
    </w:p>
    <w:p w:rsidR="00926F05" w:rsidRPr="00881D05" w:rsidRDefault="00926F05" w:rsidP="00926F05">
      <w:r w:rsidRPr="00881D05">
        <w:t>January 201</w:t>
      </w:r>
      <w:r>
        <w:t>6</w:t>
      </w:r>
      <w:r w:rsidRPr="00881D05">
        <w:tab/>
      </w:r>
      <w:r w:rsidRPr="00881D05">
        <w:tab/>
      </w:r>
      <w:r w:rsidRPr="00881D05">
        <w:tab/>
        <w:t>$1</w:t>
      </w:r>
      <w:r>
        <w:t>4,998.86</w:t>
      </w:r>
    </w:p>
    <w:p w:rsidR="00926F05" w:rsidRPr="00881D05" w:rsidRDefault="00926F05" w:rsidP="00926F05">
      <w:r w:rsidRPr="00881D05">
        <w:t>April 201</w:t>
      </w:r>
      <w:r>
        <w:t>6</w:t>
      </w:r>
      <w:r w:rsidRPr="00881D05">
        <w:tab/>
      </w:r>
      <w:r w:rsidRPr="00881D05">
        <w:tab/>
      </w:r>
      <w:r w:rsidRPr="00881D05">
        <w:tab/>
        <w:t>$1</w:t>
      </w:r>
      <w:r>
        <w:t>4,998.85</w:t>
      </w:r>
    </w:p>
    <w:p w:rsidR="00926F05" w:rsidRPr="00881D05" w:rsidRDefault="00926F05" w:rsidP="00926F05">
      <w:r w:rsidRPr="00881D05">
        <w:t>Total Contribution of</w:t>
      </w:r>
      <w:r w:rsidRPr="00881D05">
        <w:tab/>
      </w:r>
      <w:r w:rsidRPr="00881D05">
        <w:tab/>
        <w:t>$</w:t>
      </w:r>
      <w:r>
        <w:t>71,995.43</w:t>
      </w:r>
    </w:p>
    <w:p w:rsidR="00926F05" w:rsidRPr="00881D05" w:rsidRDefault="00926F05" w:rsidP="00926F05"/>
    <w:p w:rsidR="00926F05" w:rsidRPr="00881D05" w:rsidRDefault="00926F05" w:rsidP="00926F05">
      <w:r w:rsidRPr="00881D05">
        <w:t>Area on Aging</w:t>
      </w:r>
    </w:p>
    <w:p w:rsidR="00926F05" w:rsidRPr="00881D05" w:rsidRDefault="00926F05" w:rsidP="00926F05">
      <w:r w:rsidRPr="00881D05">
        <w:t>September 201</w:t>
      </w:r>
      <w:r>
        <w:t>5</w:t>
      </w:r>
      <w:r w:rsidRPr="00881D05">
        <w:tab/>
      </w:r>
      <w:r w:rsidRPr="00881D05">
        <w:tab/>
        <w:t>$16,500.00</w:t>
      </w:r>
    </w:p>
    <w:p w:rsidR="00926F05" w:rsidRPr="00881D05" w:rsidRDefault="00926F05" w:rsidP="00926F05">
      <w:r w:rsidRPr="00881D05">
        <w:t>November 201</w:t>
      </w:r>
      <w:r>
        <w:t>5</w:t>
      </w:r>
      <w:r w:rsidRPr="00881D05">
        <w:tab/>
      </w:r>
      <w:r w:rsidRPr="00881D05">
        <w:tab/>
        <w:t>$16,500.00</w:t>
      </w:r>
    </w:p>
    <w:p w:rsidR="00926F05" w:rsidRPr="00881D05" w:rsidRDefault="00926F05" w:rsidP="00926F05">
      <w:r w:rsidRPr="00881D05">
        <w:t>February 201</w:t>
      </w:r>
      <w:r>
        <w:t>6</w:t>
      </w:r>
      <w:r w:rsidRPr="00881D05">
        <w:tab/>
      </w:r>
      <w:r w:rsidRPr="00881D05">
        <w:tab/>
      </w:r>
      <w:r w:rsidRPr="00881D05">
        <w:tab/>
        <w:t>$16,500.00</w:t>
      </w:r>
    </w:p>
    <w:p w:rsidR="00926F05" w:rsidRPr="00881D05" w:rsidRDefault="00926F05" w:rsidP="00926F05">
      <w:r w:rsidRPr="00881D05">
        <w:t>May 201</w:t>
      </w:r>
      <w:r>
        <w:t>6</w:t>
      </w:r>
      <w:r w:rsidRPr="00881D05">
        <w:tab/>
      </w:r>
      <w:r w:rsidRPr="00881D05">
        <w:tab/>
      </w:r>
      <w:r w:rsidRPr="00881D05">
        <w:tab/>
        <w:t>$16,500.00</w:t>
      </w:r>
    </w:p>
    <w:p w:rsidR="00926F05" w:rsidRDefault="00926F05" w:rsidP="00926F05">
      <w:r w:rsidRPr="00881D05">
        <w:t>Total Contribution of</w:t>
      </w:r>
      <w:r w:rsidRPr="00881D05">
        <w:tab/>
      </w:r>
      <w:r w:rsidRPr="00881D05">
        <w:tab/>
        <w:t>$66,000.00</w:t>
      </w:r>
    </w:p>
    <w:p w:rsidR="00926F05" w:rsidRDefault="00926F05" w:rsidP="00926F05"/>
    <w:p w:rsidR="00926F05" w:rsidRDefault="00926F05" w:rsidP="00926F05">
      <w:r>
        <w:t>Road Department</w:t>
      </w:r>
    </w:p>
    <w:p w:rsidR="00926F05" w:rsidRDefault="00FF04E4" w:rsidP="00926F05">
      <w:r>
        <w:t>September 2015</w:t>
      </w:r>
      <w:r>
        <w:tab/>
      </w:r>
      <w:r>
        <w:tab/>
      </w:r>
      <w:r w:rsidR="00926F05">
        <w:t>$100.000.00</w:t>
      </w:r>
    </w:p>
    <w:p w:rsidR="00926F05" w:rsidRDefault="00926F05" w:rsidP="00926F05">
      <w:r>
        <w:t>January 2016</w:t>
      </w:r>
      <w:r>
        <w:tab/>
      </w:r>
      <w:r>
        <w:tab/>
      </w:r>
      <w:r>
        <w:tab/>
        <w:t>$100,000.00</w:t>
      </w:r>
    </w:p>
    <w:p w:rsidR="00926F05" w:rsidRDefault="00926F05" w:rsidP="00926F05">
      <w:r>
        <w:t>May 2016</w:t>
      </w:r>
      <w:r>
        <w:tab/>
      </w:r>
      <w:r>
        <w:tab/>
      </w:r>
      <w:r>
        <w:tab/>
        <w:t>$100.000.00</w:t>
      </w:r>
    </w:p>
    <w:p w:rsidR="00926F05" w:rsidRPr="00881D05" w:rsidRDefault="00926F05" w:rsidP="00926F05">
      <w:r>
        <w:t>Total Contribution of</w:t>
      </w:r>
      <w:r>
        <w:tab/>
      </w:r>
      <w:r>
        <w:tab/>
        <w:t>$300,000.00</w:t>
      </w:r>
    </w:p>
    <w:p w:rsidR="00926F05" w:rsidRPr="00881D05" w:rsidRDefault="00926F05" w:rsidP="00926F05"/>
    <w:p w:rsidR="008174D0" w:rsidRDefault="00926F05" w:rsidP="00926F05">
      <w:r w:rsidRPr="00881D05">
        <w:t xml:space="preserve">Dated this </w:t>
      </w:r>
      <w:r>
        <w:t>1st</w:t>
      </w:r>
      <w:r w:rsidRPr="00881D05">
        <w:t xml:space="preserve"> day of September, 201</w:t>
      </w:r>
      <w:r>
        <w:t>5</w:t>
      </w:r>
      <w:r w:rsidRPr="00881D05">
        <w:t>.</w:t>
      </w:r>
    </w:p>
    <w:p w:rsidR="008174D0" w:rsidRDefault="008174D0" w:rsidP="00F67E41">
      <w:pPr>
        <w:ind w:left="0"/>
      </w:pPr>
    </w:p>
    <w:p w:rsidR="00E7395B" w:rsidRDefault="00E7395B" w:rsidP="00E7395B">
      <w:pPr>
        <w:ind w:left="0"/>
        <w:rPr>
          <w:b/>
          <w:u w:val="single"/>
        </w:rPr>
      </w:pPr>
      <w:r>
        <w:rPr>
          <w:b/>
          <w:u w:val="single"/>
        </w:rPr>
        <w:t>INTERFUND TRANSFERS:</w:t>
      </w:r>
    </w:p>
    <w:p w:rsidR="00D739C9" w:rsidRDefault="00E7395B" w:rsidP="0079451C">
      <w:pPr>
        <w:ind w:left="0"/>
      </w:pPr>
      <w:r>
        <w:t xml:space="preserve">There </w:t>
      </w:r>
      <w:r w:rsidR="00DC71DD">
        <w:t>were</w:t>
      </w:r>
      <w:r>
        <w:t xml:space="preserve"> no Interfund Transfer to come before the Board</w:t>
      </w:r>
      <w:r w:rsidR="0079451C">
        <w:t>.</w:t>
      </w:r>
    </w:p>
    <w:p w:rsidR="00D739C9" w:rsidRDefault="00D739C9" w:rsidP="0079451C">
      <w:pPr>
        <w:ind w:left="0"/>
      </w:pPr>
    </w:p>
    <w:p w:rsidR="00D739C9" w:rsidRDefault="00D739C9" w:rsidP="0079451C">
      <w:pPr>
        <w:ind w:left="0"/>
      </w:pPr>
      <w:r>
        <w:t>Moved by</w:t>
      </w:r>
      <w:r w:rsidR="00926F05">
        <w:t xml:space="preserve"> Sikes</w:t>
      </w:r>
      <w:r>
        <w:t>, seconded by</w:t>
      </w:r>
      <w:r w:rsidR="00926F05">
        <w:t xml:space="preserve"> Bulgrin</w:t>
      </w:r>
      <w:r>
        <w:t xml:space="preserve"> to adopt Resolution #15-</w:t>
      </w:r>
      <w:r w:rsidR="00926F05">
        <w:t>59</w:t>
      </w:r>
      <w:r>
        <w:t xml:space="preserve"> to authorize the Chairman to sign the Nebraska Regional Interoperability Network (NRIN), roll call; yeas,</w:t>
      </w:r>
      <w:r w:rsidR="00926F05">
        <w:t xml:space="preserve"> Sikes, Bulgrin, Buller, Obermier</w:t>
      </w:r>
      <w:r>
        <w:t xml:space="preserve"> and Bamesberger, nays none, motion carried.</w:t>
      </w:r>
    </w:p>
    <w:p w:rsidR="00926F05" w:rsidRDefault="00926F05" w:rsidP="0079451C">
      <w:pPr>
        <w:ind w:left="0"/>
      </w:pPr>
    </w:p>
    <w:p w:rsidR="0061796C" w:rsidRPr="00881D05" w:rsidRDefault="0061796C" w:rsidP="0061796C">
      <w:pPr>
        <w:jc w:val="center"/>
      </w:pPr>
      <w:r>
        <w:t>Resolution #15-59</w:t>
      </w:r>
    </w:p>
    <w:p w:rsidR="0061796C" w:rsidRDefault="0061796C" w:rsidP="0061796C">
      <w:r>
        <w:tab/>
        <w:t>WHEREAS, The Interlocal Cooperation Act of the State of Nebraska (Neb.Rev.Stat.13-801 et.seq/and all amendments thereto) enables separate political subdivisions of Nebraska to cooperate on the basis of mutual advantage to provide for joint undertakings, services and facilities.</w:t>
      </w:r>
    </w:p>
    <w:p w:rsidR="0061796C" w:rsidRDefault="0061796C" w:rsidP="0061796C"/>
    <w:p w:rsidR="0061796C" w:rsidRDefault="0061796C" w:rsidP="0061796C">
      <w:r>
        <w:tab/>
        <w:t>WHEREAS, York County, Nebraska believes it is in the best interest of its citizens to join with other Nebraska Public Agencies participating in the Nebraska Regional Interoperability Network.</w:t>
      </w:r>
    </w:p>
    <w:p w:rsidR="0061796C" w:rsidRDefault="0061796C" w:rsidP="0061796C"/>
    <w:p w:rsidR="0061796C" w:rsidRDefault="0061796C" w:rsidP="0061796C">
      <w:r>
        <w:tab/>
        <w:t>WHEREAS, the Nebraska Regional Interoperability Network is established by Public Agencies for the benefit of Nebraska citizens and allows information to be shared among emergency and communications centers on a real time, on demand, basis to help mitigate an emergency that threatens any location.</w:t>
      </w:r>
    </w:p>
    <w:p w:rsidR="0061796C" w:rsidRDefault="0061796C" w:rsidP="0061796C"/>
    <w:p w:rsidR="0061796C" w:rsidRDefault="0061796C" w:rsidP="0061796C">
      <w:r>
        <w:t>THERFORE BE IT RESOLVED, that the York County Board hereby;</w:t>
      </w:r>
    </w:p>
    <w:p w:rsidR="0061796C" w:rsidRDefault="0061796C" w:rsidP="0061796C">
      <w:pPr>
        <w:pStyle w:val="ListParagraph"/>
        <w:widowControl/>
        <w:numPr>
          <w:ilvl w:val="0"/>
          <w:numId w:val="2"/>
        </w:numPr>
        <w:autoSpaceDE/>
        <w:autoSpaceDN/>
        <w:adjustRightInd/>
        <w:spacing w:line="276" w:lineRule="auto"/>
      </w:pPr>
      <w:r>
        <w:t>Approves the document entitled “Agreement”’ and</w:t>
      </w:r>
    </w:p>
    <w:p w:rsidR="0061796C" w:rsidRDefault="0061796C" w:rsidP="0061796C">
      <w:pPr>
        <w:pStyle w:val="ListParagraph"/>
        <w:widowControl/>
        <w:numPr>
          <w:ilvl w:val="0"/>
          <w:numId w:val="2"/>
        </w:numPr>
        <w:autoSpaceDE/>
        <w:autoSpaceDN/>
        <w:adjustRightInd/>
        <w:spacing w:line="276" w:lineRule="auto"/>
      </w:pPr>
      <w:r>
        <w:t>Enters into the Agreement for the formation and participation in the Nebraska regional Interoperability Network for the period September 1, 2015 through December, 2025, and</w:t>
      </w:r>
    </w:p>
    <w:p w:rsidR="0061796C" w:rsidRPr="00686D13" w:rsidRDefault="0061796C" w:rsidP="0061796C">
      <w:pPr>
        <w:pStyle w:val="ListParagraph"/>
        <w:widowControl/>
        <w:numPr>
          <w:ilvl w:val="0"/>
          <w:numId w:val="2"/>
        </w:numPr>
        <w:autoSpaceDE/>
        <w:autoSpaceDN/>
        <w:adjustRightInd/>
        <w:spacing w:line="276" w:lineRule="auto"/>
      </w:pPr>
      <w:r w:rsidRPr="00686D13">
        <w:t>The Chairman of the York County Board is hereby authorized to execute the Agreement on behalf of the Public Agency following passage and approval of this Resolution.</w:t>
      </w:r>
    </w:p>
    <w:p w:rsidR="00926F05" w:rsidRDefault="0061796C" w:rsidP="0061796C">
      <w:r w:rsidRPr="00881D05">
        <w:t xml:space="preserve">Dated this </w:t>
      </w:r>
      <w:r>
        <w:t>1st</w:t>
      </w:r>
      <w:r w:rsidRPr="00881D05">
        <w:t xml:space="preserve"> day of September, 201</w:t>
      </w:r>
      <w:r>
        <w:t>5</w:t>
      </w:r>
      <w:r w:rsidRPr="00881D05">
        <w:t>.</w:t>
      </w:r>
    </w:p>
    <w:p w:rsidR="00D739C9" w:rsidRDefault="00D739C9" w:rsidP="0079451C">
      <w:pPr>
        <w:ind w:left="0"/>
      </w:pPr>
    </w:p>
    <w:p w:rsidR="001808D4" w:rsidRDefault="00D739C9" w:rsidP="0079451C">
      <w:pPr>
        <w:ind w:left="0"/>
      </w:pPr>
      <w:r>
        <w:t>Moved by</w:t>
      </w:r>
      <w:r w:rsidR="0061796C">
        <w:t xml:space="preserve"> Sikes</w:t>
      </w:r>
      <w:r>
        <w:t>, seconded by</w:t>
      </w:r>
      <w:r w:rsidR="0061796C">
        <w:t xml:space="preserve"> Obermier</w:t>
      </w:r>
      <w:r>
        <w:t xml:space="preserve"> to approve that Rex Heiden York County Surveyor, to </w:t>
      </w:r>
      <w:r w:rsidR="007971CF">
        <w:t>loc</w:t>
      </w:r>
      <w:r>
        <w:t>ate corners</w:t>
      </w:r>
      <w:proofErr w:type="gramStart"/>
      <w:r w:rsidR="004D1C7C">
        <w:t xml:space="preserve">, </w:t>
      </w:r>
      <w:r>
        <w:t xml:space="preserve"> located</w:t>
      </w:r>
      <w:proofErr w:type="gramEnd"/>
      <w:r>
        <w:t xml:space="preserve"> at </w:t>
      </w:r>
      <w:r w:rsidR="00252A79">
        <w:t>Section 36 Township 9 North Range 2 West (8 corners), North ¼ Corner Section 16 Township 10 North Range 2 West and North Quarter Corner of Section 32 Township 10 North range 1 West, roll call; yeas,</w:t>
      </w:r>
      <w:r w:rsidR="0061796C">
        <w:t xml:space="preserve"> Sikes, Obermier, Buller, Bulgrin</w:t>
      </w:r>
      <w:r w:rsidR="00252A79">
        <w:t xml:space="preserve"> and Bamesberger, nays none, motion carried.</w:t>
      </w:r>
    </w:p>
    <w:p w:rsidR="00B21184" w:rsidRDefault="00B21184" w:rsidP="009F1C59">
      <w:pPr>
        <w:ind w:left="0"/>
      </w:pPr>
    </w:p>
    <w:p w:rsidR="00B21184" w:rsidRDefault="00B21184" w:rsidP="00B21184">
      <w:pPr>
        <w:tabs>
          <w:tab w:val="decimal" w:pos="6480"/>
        </w:tabs>
        <w:ind w:left="0"/>
      </w:pPr>
      <w:r>
        <w:t>A Public Hearing was held at 9:30 as published in the York News Times on August 2</w:t>
      </w:r>
      <w:r w:rsidR="009034F5">
        <w:t>6</w:t>
      </w:r>
      <w:r>
        <w:t>, 2015 to hear support, criticism, suggestions or observations relating to the proposed 2015-2016 budget.  Present at the hearing were: County Commissioners Bulgrin, Bamesberger, Obermier, Sikes and Buller; Accounts Payable Clerk, Amanda Ring; County Treasurer, Brenda Scavo.</w:t>
      </w:r>
    </w:p>
    <w:p w:rsidR="00B21184" w:rsidRDefault="00B21184" w:rsidP="00B21184">
      <w:pPr>
        <w:tabs>
          <w:tab w:val="decimal" w:pos="6480"/>
        </w:tabs>
        <w:ind w:left="0"/>
      </w:pPr>
    </w:p>
    <w:p w:rsidR="0061796C" w:rsidRDefault="00B21184" w:rsidP="00B21184">
      <w:pPr>
        <w:tabs>
          <w:tab w:val="decimal" w:pos="6480"/>
        </w:tabs>
        <w:ind w:left="0"/>
      </w:pPr>
      <w:r>
        <w:t xml:space="preserve">Commissioner Bamesberger reviewed the proposed budget with those in attendance.  </w:t>
      </w:r>
      <w:r w:rsidR="0061796C">
        <w:t xml:space="preserve">Willard Peterson, Brenda Scavo and Nick Wollenburg had concerns with the funding for the York Public Library. </w:t>
      </w:r>
    </w:p>
    <w:p w:rsidR="0061796C" w:rsidRDefault="0061796C" w:rsidP="00B21184">
      <w:pPr>
        <w:tabs>
          <w:tab w:val="decimal" w:pos="6480"/>
        </w:tabs>
        <w:ind w:left="0"/>
      </w:pPr>
    </w:p>
    <w:p w:rsidR="0061796C" w:rsidRDefault="0061796C" w:rsidP="00B21184">
      <w:pPr>
        <w:tabs>
          <w:tab w:val="decimal" w:pos="6480"/>
        </w:tabs>
        <w:ind w:left="0"/>
      </w:pPr>
      <w:r>
        <w:t>Moved by Bulgrin, seconded by Bamesberger to take out of the budget the funding for the</w:t>
      </w:r>
      <w:r w:rsidR="002437B6">
        <w:t xml:space="preserve"> York Public</w:t>
      </w:r>
      <w:r>
        <w:t xml:space="preserve"> </w:t>
      </w:r>
      <w:r w:rsidR="002437B6">
        <w:t>L</w:t>
      </w:r>
      <w:r>
        <w:t xml:space="preserve">ibrary.  Bulgrin </w:t>
      </w:r>
      <w:r w:rsidR="00DB2310">
        <w:t>re</w:t>
      </w:r>
      <w:r w:rsidR="002437B6">
        <w:t>s</w:t>
      </w:r>
      <w:r w:rsidR="00DB2310">
        <w:t>c</w:t>
      </w:r>
      <w:r w:rsidR="002437B6">
        <w:t>in</w:t>
      </w:r>
      <w:r w:rsidR="00DB2310">
        <w:t>ded</w:t>
      </w:r>
      <w:r>
        <w:t xml:space="preserve"> his motion until the public hearing was closed.</w:t>
      </w:r>
    </w:p>
    <w:p w:rsidR="0061796C" w:rsidRDefault="0061796C" w:rsidP="00B21184">
      <w:pPr>
        <w:tabs>
          <w:tab w:val="decimal" w:pos="6480"/>
        </w:tabs>
        <w:ind w:left="0"/>
      </w:pPr>
    </w:p>
    <w:p w:rsidR="00B21184" w:rsidRDefault="00B21184" w:rsidP="00B21184">
      <w:pPr>
        <w:tabs>
          <w:tab w:val="decimal" w:pos="6480"/>
        </w:tabs>
        <w:ind w:left="0"/>
      </w:pPr>
      <w:r>
        <w:t xml:space="preserve">The Public Hearing was closed at </w:t>
      </w:r>
      <w:r w:rsidR="0061796C">
        <w:t>10:00</w:t>
      </w:r>
      <w:r>
        <w:t xml:space="preserve"> a.m. </w:t>
      </w:r>
    </w:p>
    <w:p w:rsidR="0061796C" w:rsidRDefault="0061796C" w:rsidP="00B21184">
      <w:pPr>
        <w:tabs>
          <w:tab w:val="decimal" w:pos="6480"/>
        </w:tabs>
        <w:ind w:left="0"/>
      </w:pPr>
    </w:p>
    <w:p w:rsidR="0061796C" w:rsidRDefault="0061796C" w:rsidP="00B21184">
      <w:pPr>
        <w:tabs>
          <w:tab w:val="decimal" w:pos="6480"/>
        </w:tabs>
        <w:ind w:left="0"/>
      </w:pPr>
      <w:r>
        <w:t xml:space="preserve">Moved by Bulgrin, seconded by Bamesberger to approve the </w:t>
      </w:r>
      <w:r w:rsidR="0023385D">
        <w:t>Budget for</w:t>
      </w:r>
      <w:r w:rsidR="001C6CED">
        <w:t xml:space="preserve"> York County </w:t>
      </w:r>
      <w:r>
        <w:t xml:space="preserve">with subtracting $15,000 from the Inheritance Tax </w:t>
      </w:r>
      <w:r w:rsidR="0023385D">
        <w:t>Fund for</w:t>
      </w:r>
      <w:r w:rsidR="001C6CED">
        <w:t xml:space="preserve"> the York Public Library </w:t>
      </w:r>
      <w:r>
        <w:t xml:space="preserve">and </w:t>
      </w:r>
      <w:r w:rsidR="001C6CED">
        <w:t>setting</w:t>
      </w:r>
      <w:r>
        <w:t xml:space="preserve"> the Levy at .178515. Bulgrin </w:t>
      </w:r>
      <w:r w:rsidR="00DB2310">
        <w:t xml:space="preserve">rescinded </w:t>
      </w:r>
      <w:r>
        <w:t>his motion.</w:t>
      </w:r>
    </w:p>
    <w:p w:rsidR="0061796C" w:rsidRDefault="0061796C" w:rsidP="00B21184">
      <w:pPr>
        <w:tabs>
          <w:tab w:val="decimal" w:pos="6480"/>
        </w:tabs>
        <w:ind w:left="0"/>
      </w:pPr>
    </w:p>
    <w:p w:rsidR="004D1C7C" w:rsidRDefault="0061796C" w:rsidP="00B21184">
      <w:pPr>
        <w:tabs>
          <w:tab w:val="decimal" w:pos="6480"/>
        </w:tabs>
        <w:ind w:left="0"/>
      </w:pPr>
      <w:r>
        <w:lastRenderedPageBreak/>
        <w:t xml:space="preserve">Moved by Bulgrin, seconded by Bamesberger to take out $15,000.00 from the Inheritance Tax Fund </w:t>
      </w:r>
      <w:r w:rsidR="001C6CED">
        <w:t>that is to be paid to the</w:t>
      </w:r>
      <w:r>
        <w:t xml:space="preserve"> York Public Library, roll call; yeas Bulgrin and Bamesberger, nays Sikes, Obermier and Buller, motion failed.</w:t>
      </w:r>
    </w:p>
    <w:p w:rsidR="00B21184" w:rsidRDefault="00B21184" w:rsidP="00B21184">
      <w:pPr>
        <w:tabs>
          <w:tab w:val="decimal" w:pos="6480"/>
        </w:tabs>
        <w:ind w:left="0"/>
      </w:pPr>
    </w:p>
    <w:p w:rsidR="00B21184" w:rsidRDefault="00B21184" w:rsidP="00B21184">
      <w:pPr>
        <w:tabs>
          <w:tab w:val="decimal" w:pos="6480"/>
        </w:tabs>
        <w:ind w:left="0"/>
      </w:pPr>
      <w:r>
        <w:t xml:space="preserve">Moved by </w:t>
      </w:r>
      <w:r w:rsidR="0061796C">
        <w:t>Obermier</w:t>
      </w:r>
      <w:r>
        <w:t>, seconded by</w:t>
      </w:r>
      <w:r w:rsidR="0061796C">
        <w:t xml:space="preserve"> Sikes</w:t>
      </w:r>
      <w:r>
        <w:t xml:space="preserve"> to adopt Resolution #15-</w:t>
      </w:r>
      <w:r w:rsidR="0061796C">
        <w:t>60</w:t>
      </w:r>
      <w:r>
        <w:t xml:space="preserve"> </w:t>
      </w:r>
      <w:r w:rsidR="00B96F04">
        <w:t>to adopt</w:t>
      </w:r>
      <w:r>
        <w:t xml:space="preserve"> budget for 2015-2016 as advertised; roll call: yeas,</w:t>
      </w:r>
      <w:r w:rsidR="0061796C">
        <w:t xml:space="preserve"> Obermier, Sikes, Buller, Bulgrin</w:t>
      </w:r>
      <w:r>
        <w:t xml:space="preserve"> and Bamesberger; nays, none; motion carried.</w:t>
      </w:r>
    </w:p>
    <w:p w:rsidR="00B9382F" w:rsidRDefault="00B9382F" w:rsidP="00B21184">
      <w:pPr>
        <w:tabs>
          <w:tab w:val="decimal" w:pos="6480"/>
        </w:tabs>
        <w:ind w:left="0"/>
      </w:pPr>
    </w:p>
    <w:p w:rsidR="00BF2B8B" w:rsidRDefault="00BF2B8B" w:rsidP="00BF2B8B">
      <w:pPr>
        <w:ind w:left="0"/>
        <w:jc w:val="center"/>
        <w:rPr>
          <w:b/>
        </w:rPr>
      </w:pPr>
      <w:r>
        <w:rPr>
          <w:b/>
        </w:rPr>
        <w:t>RESOLTUION #15-60</w:t>
      </w:r>
    </w:p>
    <w:p w:rsidR="00BF2B8B" w:rsidRDefault="00BF2B8B" w:rsidP="00BF2B8B">
      <w:pPr>
        <w:ind w:left="0"/>
        <w:jc w:val="center"/>
        <w:rPr>
          <w:b/>
        </w:rPr>
      </w:pPr>
    </w:p>
    <w:p w:rsidR="00BF2B8B" w:rsidRDefault="00BF2B8B" w:rsidP="00BF2B8B">
      <w:pPr>
        <w:ind w:left="0"/>
      </w:pPr>
      <w:r>
        <w:rPr>
          <w:b/>
        </w:rPr>
        <w:t>WHEREAS,</w:t>
      </w:r>
      <w:r>
        <w:t xml:space="preserve"> a proposed County Board for the Fiscal Year July 1, 2015, to June 30, 2016 prepared by the Budget Making Authority, was transmitted to the County Board on the 1</w:t>
      </w:r>
      <w:r w:rsidRPr="00EF55B1">
        <w:rPr>
          <w:vertAlign w:val="superscript"/>
        </w:rPr>
        <w:t>st</w:t>
      </w:r>
      <w:r>
        <w:t xml:space="preserve"> day of September, 2015.</w:t>
      </w:r>
    </w:p>
    <w:p w:rsidR="00BF2B8B" w:rsidRDefault="00BF2B8B" w:rsidP="00BF2B8B">
      <w:pPr>
        <w:ind w:left="0"/>
      </w:pPr>
    </w:p>
    <w:p w:rsidR="00BF2B8B" w:rsidRDefault="00BF2B8B" w:rsidP="00BF2B8B">
      <w:pPr>
        <w:ind w:left="0"/>
      </w:pPr>
      <w:r>
        <w:rPr>
          <w:b/>
        </w:rPr>
        <w:t xml:space="preserve">NOW, THEREFORE, BE IT RESOLVED, </w:t>
      </w:r>
      <w:r>
        <w:t>by the Board of Commissioners of York County, Nebraska as follows,</w:t>
      </w:r>
    </w:p>
    <w:p w:rsidR="00BF2B8B" w:rsidRDefault="00BF2B8B" w:rsidP="00BF2B8B">
      <w:pPr>
        <w:ind w:left="0"/>
      </w:pPr>
    </w:p>
    <w:p w:rsidR="00BF2B8B" w:rsidRDefault="00BF2B8B" w:rsidP="00BF2B8B">
      <w:pPr>
        <w:ind w:left="0"/>
      </w:pPr>
      <w:r>
        <w:t>SECTION 1. That the budget for the Fiscal Year July 1, 2015 to June 30, 2016, as categorically evidenced by the Budget Document and the same hereby is adopted as the Budget for York County for said fiscal year.</w:t>
      </w:r>
    </w:p>
    <w:p w:rsidR="00BF2B8B" w:rsidRDefault="00BF2B8B" w:rsidP="00BF2B8B">
      <w:pPr>
        <w:ind w:left="0"/>
      </w:pPr>
      <w:r>
        <w:t>SECTION 2. That the offices, departments, activities and institutions herein named are herby authorized to expend the amount herein appropriated to them during the fiscal year beginning July 1, 2015 and ending June 30, 2016.</w:t>
      </w:r>
    </w:p>
    <w:p w:rsidR="00BF2B8B" w:rsidRDefault="00BF2B8B" w:rsidP="00BF2B8B">
      <w:pPr>
        <w:ind w:left="0"/>
      </w:pPr>
      <w: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rsidR="00BF2B8B" w:rsidRPr="00EF55B1" w:rsidRDefault="00BF2B8B" w:rsidP="00BF2B8B">
      <w:pPr>
        <w:ind w:left="0"/>
        <w:jc w:val="center"/>
      </w:pPr>
    </w:p>
    <w:p w:rsidR="00BF2B8B" w:rsidRDefault="00BF2B8B" w:rsidP="00BF2B8B">
      <w:pPr>
        <w:ind w:left="0"/>
      </w:pPr>
      <w:r>
        <w:rPr>
          <w:b/>
        </w:rPr>
        <w:t xml:space="preserve">WHEREAS, </w:t>
      </w:r>
      <w:r>
        <w:t>at the public hearing held on the 1st of September, 2015, on the proposed 2015-2016 York County Budget, the summary of the tentative County Budget as computed against the uncontested valuations of $3,396,236,841 and $2,450,673,344 for County Ambulance was submitted as follows:</w:t>
      </w:r>
    </w:p>
    <w:p w:rsidR="00BF2B8B" w:rsidRDefault="00BF2B8B" w:rsidP="00BF2B8B">
      <w:pPr>
        <w:ind w:left="0"/>
      </w:pPr>
    </w:p>
    <w:p w:rsidR="00BF2B8B" w:rsidRDefault="00BF2B8B" w:rsidP="00BF2B8B">
      <w:pPr>
        <w:tabs>
          <w:tab w:val="decimal" w:pos="5760"/>
        </w:tabs>
        <w:ind w:left="0"/>
      </w:pPr>
      <w:r>
        <w:t>County General Fund</w:t>
      </w:r>
      <w:r>
        <w:tab/>
        <w:t>$ 4,983,600.91</w:t>
      </w:r>
    </w:p>
    <w:p w:rsidR="00BF2B8B" w:rsidRDefault="00BF2B8B" w:rsidP="00BF2B8B">
      <w:pPr>
        <w:tabs>
          <w:tab w:val="decimal" w:pos="5760"/>
        </w:tabs>
        <w:ind w:left="0"/>
      </w:pPr>
      <w:r>
        <w:t>Employment Security</w:t>
      </w:r>
      <w:r>
        <w:tab/>
        <w:t>$ 4,886.53</w:t>
      </w:r>
    </w:p>
    <w:p w:rsidR="00BF2B8B" w:rsidRDefault="00BF2B8B" w:rsidP="00BF2B8B">
      <w:pPr>
        <w:tabs>
          <w:tab w:val="decimal" w:pos="5760"/>
        </w:tabs>
        <w:ind w:left="0"/>
      </w:pPr>
      <w:r>
        <w:t>County Relief</w:t>
      </w:r>
      <w:r>
        <w:tab/>
        <w:t>$ 14,641.27</w:t>
      </w:r>
    </w:p>
    <w:p w:rsidR="00BF2B8B" w:rsidRDefault="00BF2B8B" w:rsidP="00BF2B8B">
      <w:pPr>
        <w:tabs>
          <w:tab w:val="decimal" w:pos="5760"/>
        </w:tabs>
        <w:ind w:left="0"/>
      </w:pPr>
      <w:r>
        <w:t>State Institutions</w:t>
      </w:r>
      <w:r>
        <w:tab/>
        <w:t>$ 29,095.96</w:t>
      </w:r>
    </w:p>
    <w:p w:rsidR="00BF2B8B" w:rsidRDefault="00BF2B8B" w:rsidP="00BF2B8B">
      <w:pPr>
        <w:tabs>
          <w:tab w:val="decimal" w:pos="5760"/>
        </w:tabs>
        <w:ind w:left="0"/>
      </w:pPr>
      <w:r>
        <w:t>Debt Service</w:t>
      </w:r>
      <w:r>
        <w:tab/>
        <w:t>$ 762,006.54</w:t>
      </w:r>
    </w:p>
    <w:p w:rsidR="00BF2B8B" w:rsidRDefault="00BF2B8B" w:rsidP="00BF2B8B">
      <w:pPr>
        <w:tabs>
          <w:tab w:val="decimal" w:pos="5760"/>
        </w:tabs>
        <w:ind w:left="0"/>
      </w:pPr>
      <w:r>
        <w:t>Emergency Mgmt</w:t>
      </w:r>
      <w:r>
        <w:tab/>
        <w:t>$ 15,558.93</w:t>
      </w:r>
    </w:p>
    <w:p w:rsidR="00BF2B8B" w:rsidRDefault="00BF2B8B" w:rsidP="00BF2B8B">
      <w:pPr>
        <w:tabs>
          <w:tab w:val="decimal" w:pos="5760"/>
        </w:tabs>
        <w:ind w:left="0"/>
      </w:pPr>
      <w:r>
        <w:t>Ambulance</w:t>
      </w:r>
      <w:r>
        <w:tab/>
        <w:t>$253,013.21</w:t>
      </w:r>
    </w:p>
    <w:p w:rsidR="00BF2B8B" w:rsidRDefault="00BF2B8B" w:rsidP="00BF2B8B">
      <w:pPr>
        <w:tabs>
          <w:tab w:val="decimal" w:pos="5760"/>
        </w:tabs>
        <w:ind w:left="0"/>
      </w:pPr>
      <w:r>
        <w:t>Total</w:t>
      </w:r>
      <w:r>
        <w:tab/>
        <w:t>$ 6,062,803.35</w:t>
      </w:r>
    </w:p>
    <w:p w:rsidR="00BF2B8B" w:rsidRDefault="00BF2B8B" w:rsidP="00BF2B8B">
      <w:pPr>
        <w:ind w:left="0"/>
      </w:pPr>
    </w:p>
    <w:p w:rsidR="00BF2B8B" w:rsidRDefault="00BF2B8B" w:rsidP="00BF2B8B">
      <w:pPr>
        <w:ind w:left="0"/>
      </w:pPr>
      <w:r w:rsidRPr="002C5E18">
        <w:rPr>
          <w:b/>
        </w:rPr>
        <w:t>WHEREAS,</w:t>
      </w:r>
      <w:r>
        <w:t xml:space="preserve"> making no changes or adjustments to the proposed 2015-2016 summary of the County Budget;</w:t>
      </w:r>
    </w:p>
    <w:p w:rsidR="00BF2B8B" w:rsidRPr="002C5E18" w:rsidRDefault="00BF2B8B" w:rsidP="00BF2B8B">
      <w:pPr>
        <w:ind w:left="0"/>
        <w:rPr>
          <w:b/>
        </w:rPr>
      </w:pPr>
      <w:r w:rsidRPr="002C5E18">
        <w:rPr>
          <w:b/>
        </w:rPr>
        <w:t xml:space="preserve"> </w:t>
      </w:r>
    </w:p>
    <w:p w:rsidR="00BF2B8B" w:rsidRDefault="00BF2B8B" w:rsidP="00BF2B8B">
      <w:pPr>
        <w:ind w:left="0"/>
      </w:pPr>
      <w:r w:rsidRPr="002C5E18">
        <w:rPr>
          <w:b/>
        </w:rPr>
        <w:t>NOW, THEREFORE BE IT RESOLVED</w:t>
      </w:r>
      <w:r>
        <w:t xml:space="preserve"> by the York County Board of Commissioners, that the County Budget be adopted.</w:t>
      </w:r>
    </w:p>
    <w:p w:rsidR="00BF2B8B" w:rsidRDefault="00BF2B8B" w:rsidP="00BF2B8B">
      <w:pPr>
        <w:ind w:left="0"/>
      </w:pPr>
    </w:p>
    <w:p w:rsidR="00BF2B8B" w:rsidRDefault="00BF2B8B" w:rsidP="00BF2B8B">
      <w:pPr>
        <w:ind w:left="0"/>
      </w:pPr>
      <w:r>
        <w:t>DATED this 1st day of September, 2015.</w:t>
      </w:r>
    </w:p>
    <w:p w:rsidR="00B21184" w:rsidRDefault="00B21184" w:rsidP="00B21184">
      <w:pPr>
        <w:tabs>
          <w:tab w:val="decimal" w:pos="6480"/>
        </w:tabs>
        <w:ind w:left="0"/>
      </w:pPr>
    </w:p>
    <w:p w:rsidR="00E51370" w:rsidRDefault="00E51370" w:rsidP="00E51370">
      <w:pPr>
        <w:ind w:left="0"/>
      </w:pPr>
      <w:r>
        <w:t>Moved by</w:t>
      </w:r>
      <w:r w:rsidR="00FD724A">
        <w:t xml:space="preserve"> Bamesberger</w:t>
      </w:r>
      <w:r>
        <w:t>, seconded by</w:t>
      </w:r>
      <w:r w:rsidR="00FD724A">
        <w:t xml:space="preserve"> Sikes</w:t>
      </w:r>
      <w:r>
        <w:t xml:space="preserve"> to compensate Brenda Scavo and Amanda Ring $</w:t>
      </w:r>
      <w:r w:rsidR="00FD724A">
        <w:t>750</w:t>
      </w:r>
      <w:r>
        <w:t>.00 each for drafting the 2015-2016 budg</w:t>
      </w:r>
      <w:r w:rsidR="000D485C">
        <w:t>et, roll call; yeas, Bamesberger</w:t>
      </w:r>
      <w:r w:rsidR="00FD724A">
        <w:t xml:space="preserve">, Sikes, Obermier, Buller and Bulgrin, </w:t>
      </w:r>
      <w:r>
        <w:t xml:space="preserve"> nays none, motion carried.</w:t>
      </w:r>
    </w:p>
    <w:p w:rsidR="00081147" w:rsidRDefault="00081147" w:rsidP="00E51370">
      <w:pPr>
        <w:ind w:left="0"/>
      </w:pPr>
    </w:p>
    <w:p w:rsidR="00081147" w:rsidRDefault="00081147" w:rsidP="00E51370">
      <w:pPr>
        <w:ind w:left="0"/>
      </w:pPr>
      <w:r>
        <w:t>Nancy Beach met with the Board to discuss abandonment of the Zion Cemetery.</w:t>
      </w:r>
      <w:r w:rsidR="00FD724A">
        <w:t xml:space="preserve">  </w:t>
      </w:r>
      <w:r w:rsidR="007474A7">
        <w:t>The Board advised the County Attorney to</w:t>
      </w:r>
      <w:r w:rsidR="00CE4BA6">
        <w:t xml:space="preserve"> look into an easement and resolution.</w:t>
      </w:r>
    </w:p>
    <w:p w:rsidR="00081147" w:rsidRDefault="00081147" w:rsidP="00E51370">
      <w:pPr>
        <w:ind w:left="0"/>
      </w:pPr>
    </w:p>
    <w:p w:rsidR="008E594E" w:rsidRDefault="008E594E" w:rsidP="008E594E">
      <w:pPr>
        <w:ind w:left="0"/>
      </w:pPr>
      <w:r>
        <w:t>Sandy Morrissey, Director of the Region V Systems provided the Board with an update of their services.</w:t>
      </w:r>
    </w:p>
    <w:p w:rsidR="00CE4BA6" w:rsidRDefault="00CE4BA6" w:rsidP="008E594E">
      <w:pPr>
        <w:ind w:left="0"/>
      </w:pPr>
    </w:p>
    <w:p w:rsidR="00CE4BA6" w:rsidRDefault="00870953" w:rsidP="008E594E">
      <w:pPr>
        <w:ind w:left="0"/>
      </w:pPr>
      <w:r>
        <w:t>Moved by Bulgrin to</w:t>
      </w:r>
      <w:r w:rsidR="00A95B44">
        <w:t xml:space="preserve"> approve to pay the different of $1,209.90 out of the District Probation Budget </w:t>
      </w:r>
      <w:r w:rsidR="00DB2310">
        <w:t>for part</w:t>
      </w:r>
      <w:r w:rsidR="00A95B44">
        <w:t xml:space="preserve"> of the purchase of flip top tables and base w/caster for group </w:t>
      </w:r>
      <w:r w:rsidR="00DB2310">
        <w:t>room purchase</w:t>
      </w:r>
      <w:r w:rsidR="00A95B44">
        <w:t xml:space="preserve"> from Eakes Office Solutions. Bulgrin res</w:t>
      </w:r>
      <w:r w:rsidR="002437B6">
        <w:t>ci</w:t>
      </w:r>
      <w:r w:rsidR="00A95B44">
        <w:t>nded his motion</w:t>
      </w:r>
    </w:p>
    <w:p w:rsidR="00081147" w:rsidRDefault="00081147" w:rsidP="00E51370">
      <w:pPr>
        <w:ind w:left="0"/>
      </w:pPr>
    </w:p>
    <w:p w:rsidR="001808D4" w:rsidRDefault="008E594E" w:rsidP="0079451C">
      <w:pPr>
        <w:ind w:left="0"/>
      </w:pPr>
      <w:r>
        <w:t>Moved by</w:t>
      </w:r>
      <w:r w:rsidR="00CE4BA6">
        <w:t xml:space="preserve"> Bulgrin</w:t>
      </w:r>
      <w:r>
        <w:t>, seconded by</w:t>
      </w:r>
      <w:r w:rsidR="00CE4BA6">
        <w:t xml:space="preserve"> Buller</w:t>
      </w:r>
      <w:r>
        <w:t>, to</w:t>
      </w:r>
      <w:r w:rsidR="00CE4BA6">
        <w:t xml:space="preserve"> table the </w:t>
      </w:r>
      <w:r>
        <w:t>York County Probation</w:t>
      </w:r>
      <w:r w:rsidR="007971CF">
        <w:t xml:space="preserve"> </w:t>
      </w:r>
      <w:r w:rsidR="00CE4BA6">
        <w:t>bill</w:t>
      </w:r>
      <w:r w:rsidR="000F56D3">
        <w:t xml:space="preserve"> f</w:t>
      </w:r>
      <w:r w:rsidR="00DC34AA">
        <w:t>ro</w:t>
      </w:r>
      <w:r w:rsidR="000F56D3">
        <w:t>m Eakes Office Solutions</w:t>
      </w:r>
      <w:r w:rsidR="00CE4BA6">
        <w:t xml:space="preserve"> until the next Board meeting on September 15</w:t>
      </w:r>
      <w:r>
        <w:t>,</w:t>
      </w:r>
      <w:r w:rsidR="00CE4BA6">
        <w:t xml:space="preserve"> </w:t>
      </w:r>
      <w:r>
        <w:t>roll call; yeas,</w:t>
      </w:r>
      <w:r w:rsidR="00CE4BA6">
        <w:t xml:space="preserve"> Bulgrin, Buller, Obermier, Sikes</w:t>
      </w:r>
      <w:r>
        <w:t xml:space="preserve"> and Bamesberger, nays none, motion carried.</w:t>
      </w:r>
    </w:p>
    <w:p w:rsidR="00557B58" w:rsidRDefault="00557B58" w:rsidP="00494FF8">
      <w:pPr>
        <w:ind w:left="0"/>
      </w:pPr>
    </w:p>
    <w:p w:rsidR="00D31BC4" w:rsidRDefault="000B67B5" w:rsidP="000B67B5">
      <w:pPr>
        <w:ind w:firstLine="0"/>
      </w:pPr>
      <w:r>
        <w:t>Committee reports were given.</w:t>
      </w:r>
    </w:p>
    <w:p w:rsidR="000B67B5" w:rsidRDefault="000B67B5"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A95B44">
        <w:t xml:space="preserve">11:16 </w:t>
      </w:r>
      <w:r w:rsidR="008E594E">
        <w:t>a</w:t>
      </w:r>
      <w:r>
        <w:t>.m.</w:t>
      </w:r>
      <w:r w:rsidRPr="00553FE0">
        <w:t xml:space="preserve">  </w:t>
      </w:r>
      <w:r>
        <w:t xml:space="preserve">The next meeting will be held </w:t>
      </w:r>
      <w:r w:rsidR="00574045">
        <w:t>September 1</w:t>
      </w:r>
      <w:r w:rsidR="008E594E">
        <w:t>5</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D91540">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7978BE"/>
    <w:multiLevelType w:val="hybridMultilevel"/>
    <w:tmpl w:val="FEEC34A4"/>
    <w:lvl w:ilvl="0" w:tplc="8FE85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0748F"/>
    <w:rsid w:val="000164B7"/>
    <w:rsid w:val="00017498"/>
    <w:rsid w:val="00021FCD"/>
    <w:rsid w:val="000238A6"/>
    <w:rsid w:val="00026FB0"/>
    <w:rsid w:val="00030EB3"/>
    <w:rsid w:val="000358CF"/>
    <w:rsid w:val="00042D6E"/>
    <w:rsid w:val="00045295"/>
    <w:rsid w:val="000475F2"/>
    <w:rsid w:val="00051F6E"/>
    <w:rsid w:val="00063036"/>
    <w:rsid w:val="00080F93"/>
    <w:rsid w:val="00081147"/>
    <w:rsid w:val="00082853"/>
    <w:rsid w:val="00090154"/>
    <w:rsid w:val="00091346"/>
    <w:rsid w:val="000913AB"/>
    <w:rsid w:val="000A4A8A"/>
    <w:rsid w:val="000A686D"/>
    <w:rsid w:val="000B56FB"/>
    <w:rsid w:val="000B67B5"/>
    <w:rsid w:val="000C0B8F"/>
    <w:rsid w:val="000C55C4"/>
    <w:rsid w:val="000C5ABD"/>
    <w:rsid w:val="000D485C"/>
    <w:rsid w:val="000D75D6"/>
    <w:rsid w:val="000E1E30"/>
    <w:rsid w:val="000E4509"/>
    <w:rsid w:val="000E53B7"/>
    <w:rsid w:val="000E7C46"/>
    <w:rsid w:val="000F150B"/>
    <w:rsid w:val="000F251F"/>
    <w:rsid w:val="000F56D3"/>
    <w:rsid w:val="001013BA"/>
    <w:rsid w:val="001066F1"/>
    <w:rsid w:val="0011289A"/>
    <w:rsid w:val="00113E8D"/>
    <w:rsid w:val="001273D4"/>
    <w:rsid w:val="00160EFD"/>
    <w:rsid w:val="00164335"/>
    <w:rsid w:val="001663BD"/>
    <w:rsid w:val="00171DC8"/>
    <w:rsid w:val="00172D9B"/>
    <w:rsid w:val="00172ED7"/>
    <w:rsid w:val="001808D4"/>
    <w:rsid w:val="00190414"/>
    <w:rsid w:val="001A57E8"/>
    <w:rsid w:val="001A6804"/>
    <w:rsid w:val="001A7D1E"/>
    <w:rsid w:val="001C6AA1"/>
    <w:rsid w:val="001C6CED"/>
    <w:rsid w:val="001D2465"/>
    <w:rsid w:val="001F367A"/>
    <w:rsid w:val="001F6262"/>
    <w:rsid w:val="0020499B"/>
    <w:rsid w:val="00214FA9"/>
    <w:rsid w:val="0022348B"/>
    <w:rsid w:val="0023385D"/>
    <w:rsid w:val="002437B6"/>
    <w:rsid w:val="00252A79"/>
    <w:rsid w:val="00254D4D"/>
    <w:rsid w:val="002632B1"/>
    <w:rsid w:val="002635E1"/>
    <w:rsid w:val="00264E90"/>
    <w:rsid w:val="002717C0"/>
    <w:rsid w:val="002825E3"/>
    <w:rsid w:val="00286CDE"/>
    <w:rsid w:val="00295422"/>
    <w:rsid w:val="002A3FC4"/>
    <w:rsid w:val="002A7027"/>
    <w:rsid w:val="002C3C1F"/>
    <w:rsid w:val="002C5320"/>
    <w:rsid w:val="002D17C0"/>
    <w:rsid w:val="002D4C06"/>
    <w:rsid w:val="00302C92"/>
    <w:rsid w:val="00307991"/>
    <w:rsid w:val="00314C5A"/>
    <w:rsid w:val="00323BBB"/>
    <w:rsid w:val="00327AC6"/>
    <w:rsid w:val="00331547"/>
    <w:rsid w:val="00335CAF"/>
    <w:rsid w:val="00343CB3"/>
    <w:rsid w:val="003540DA"/>
    <w:rsid w:val="003638C4"/>
    <w:rsid w:val="00364719"/>
    <w:rsid w:val="00385344"/>
    <w:rsid w:val="003A2E0B"/>
    <w:rsid w:val="003B2BE0"/>
    <w:rsid w:val="003B3B57"/>
    <w:rsid w:val="003E17F8"/>
    <w:rsid w:val="003E6973"/>
    <w:rsid w:val="003F1B73"/>
    <w:rsid w:val="003F239E"/>
    <w:rsid w:val="004059B0"/>
    <w:rsid w:val="00415E13"/>
    <w:rsid w:val="00420066"/>
    <w:rsid w:val="004203EC"/>
    <w:rsid w:val="0042369E"/>
    <w:rsid w:val="0043235A"/>
    <w:rsid w:val="004345C6"/>
    <w:rsid w:val="004508D7"/>
    <w:rsid w:val="004529DC"/>
    <w:rsid w:val="00455FE8"/>
    <w:rsid w:val="0045655A"/>
    <w:rsid w:val="004657E1"/>
    <w:rsid w:val="00465F7E"/>
    <w:rsid w:val="0047664E"/>
    <w:rsid w:val="00480DE1"/>
    <w:rsid w:val="00494FF8"/>
    <w:rsid w:val="004A2541"/>
    <w:rsid w:val="004A3EE6"/>
    <w:rsid w:val="004B130E"/>
    <w:rsid w:val="004B3244"/>
    <w:rsid w:val="004B5A39"/>
    <w:rsid w:val="004C0273"/>
    <w:rsid w:val="004D1AEE"/>
    <w:rsid w:val="004D1C7C"/>
    <w:rsid w:val="004E3A2D"/>
    <w:rsid w:val="00500F39"/>
    <w:rsid w:val="00502634"/>
    <w:rsid w:val="0050291C"/>
    <w:rsid w:val="00510CA1"/>
    <w:rsid w:val="00510E23"/>
    <w:rsid w:val="00511231"/>
    <w:rsid w:val="00515C73"/>
    <w:rsid w:val="005172C0"/>
    <w:rsid w:val="00520843"/>
    <w:rsid w:val="005240C1"/>
    <w:rsid w:val="00524B63"/>
    <w:rsid w:val="00524FCE"/>
    <w:rsid w:val="00532042"/>
    <w:rsid w:val="00535316"/>
    <w:rsid w:val="00541F41"/>
    <w:rsid w:val="00556353"/>
    <w:rsid w:val="00557B58"/>
    <w:rsid w:val="00561741"/>
    <w:rsid w:val="00565A7F"/>
    <w:rsid w:val="005661E9"/>
    <w:rsid w:val="0056685E"/>
    <w:rsid w:val="00566B3A"/>
    <w:rsid w:val="0057351E"/>
    <w:rsid w:val="00574045"/>
    <w:rsid w:val="00581AA0"/>
    <w:rsid w:val="00585BD2"/>
    <w:rsid w:val="00586A16"/>
    <w:rsid w:val="00587A0F"/>
    <w:rsid w:val="005944CC"/>
    <w:rsid w:val="0059713E"/>
    <w:rsid w:val="005A1CFE"/>
    <w:rsid w:val="005B7AFD"/>
    <w:rsid w:val="005C5F42"/>
    <w:rsid w:val="005C6B1D"/>
    <w:rsid w:val="005F058D"/>
    <w:rsid w:val="005F3DAE"/>
    <w:rsid w:val="00613A17"/>
    <w:rsid w:val="00615461"/>
    <w:rsid w:val="0061796C"/>
    <w:rsid w:val="00620049"/>
    <w:rsid w:val="0062343F"/>
    <w:rsid w:val="006525BF"/>
    <w:rsid w:val="00653100"/>
    <w:rsid w:val="00672F1C"/>
    <w:rsid w:val="0067754D"/>
    <w:rsid w:val="006916A3"/>
    <w:rsid w:val="0069420B"/>
    <w:rsid w:val="006A648D"/>
    <w:rsid w:val="006B06E2"/>
    <w:rsid w:val="006C1D2B"/>
    <w:rsid w:val="006D65DC"/>
    <w:rsid w:val="00715121"/>
    <w:rsid w:val="00715A72"/>
    <w:rsid w:val="00737127"/>
    <w:rsid w:val="007451C1"/>
    <w:rsid w:val="007474A7"/>
    <w:rsid w:val="00750C91"/>
    <w:rsid w:val="007531FD"/>
    <w:rsid w:val="00776639"/>
    <w:rsid w:val="00777100"/>
    <w:rsid w:val="00777363"/>
    <w:rsid w:val="00780DF7"/>
    <w:rsid w:val="0078181C"/>
    <w:rsid w:val="00782D92"/>
    <w:rsid w:val="0079194F"/>
    <w:rsid w:val="0079451C"/>
    <w:rsid w:val="007971CF"/>
    <w:rsid w:val="007A6000"/>
    <w:rsid w:val="007C1A28"/>
    <w:rsid w:val="007C2FA7"/>
    <w:rsid w:val="007C4DF8"/>
    <w:rsid w:val="007D42FF"/>
    <w:rsid w:val="007E16F9"/>
    <w:rsid w:val="007E44CA"/>
    <w:rsid w:val="008174D0"/>
    <w:rsid w:val="008220E0"/>
    <w:rsid w:val="00827369"/>
    <w:rsid w:val="0083101E"/>
    <w:rsid w:val="00834ABE"/>
    <w:rsid w:val="00836F6F"/>
    <w:rsid w:val="00852C6E"/>
    <w:rsid w:val="00870953"/>
    <w:rsid w:val="00873CD1"/>
    <w:rsid w:val="00874DBF"/>
    <w:rsid w:val="0089119C"/>
    <w:rsid w:val="008A1400"/>
    <w:rsid w:val="008C03B5"/>
    <w:rsid w:val="008C10B8"/>
    <w:rsid w:val="008C240D"/>
    <w:rsid w:val="008C42C2"/>
    <w:rsid w:val="008C601B"/>
    <w:rsid w:val="008E594E"/>
    <w:rsid w:val="008F6902"/>
    <w:rsid w:val="009034F5"/>
    <w:rsid w:val="009142FF"/>
    <w:rsid w:val="00914FE9"/>
    <w:rsid w:val="009164FA"/>
    <w:rsid w:val="00924442"/>
    <w:rsid w:val="00926F05"/>
    <w:rsid w:val="00961EAC"/>
    <w:rsid w:val="009628F9"/>
    <w:rsid w:val="00970DC5"/>
    <w:rsid w:val="00976672"/>
    <w:rsid w:val="00976D11"/>
    <w:rsid w:val="00994D18"/>
    <w:rsid w:val="009A34E4"/>
    <w:rsid w:val="009A4A00"/>
    <w:rsid w:val="009B59C2"/>
    <w:rsid w:val="009C6C93"/>
    <w:rsid w:val="009E5C66"/>
    <w:rsid w:val="009F121E"/>
    <w:rsid w:val="009F1C59"/>
    <w:rsid w:val="00A07912"/>
    <w:rsid w:val="00A16EE5"/>
    <w:rsid w:val="00A2200D"/>
    <w:rsid w:val="00A40D4D"/>
    <w:rsid w:val="00A4155F"/>
    <w:rsid w:val="00A60153"/>
    <w:rsid w:val="00A64543"/>
    <w:rsid w:val="00A67F8C"/>
    <w:rsid w:val="00A70321"/>
    <w:rsid w:val="00A915DB"/>
    <w:rsid w:val="00A9544E"/>
    <w:rsid w:val="00A95B44"/>
    <w:rsid w:val="00AB42E8"/>
    <w:rsid w:val="00AC0959"/>
    <w:rsid w:val="00AD43D4"/>
    <w:rsid w:val="00AE3FFC"/>
    <w:rsid w:val="00AE4C9E"/>
    <w:rsid w:val="00AF2ED3"/>
    <w:rsid w:val="00B03B62"/>
    <w:rsid w:val="00B04871"/>
    <w:rsid w:val="00B21184"/>
    <w:rsid w:val="00B31E2D"/>
    <w:rsid w:val="00B352B7"/>
    <w:rsid w:val="00B37E37"/>
    <w:rsid w:val="00B401FD"/>
    <w:rsid w:val="00B432C1"/>
    <w:rsid w:val="00B5002B"/>
    <w:rsid w:val="00B52ED6"/>
    <w:rsid w:val="00B545C1"/>
    <w:rsid w:val="00B64F2B"/>
    <w:rsid w:val="00B812AA"/>
    <w:rsid w:val="00B8158C"/>
    <w:rsid w:val="00B83162"/>
    <w:rsid w:val="00B8528A"/>
    <w:rsid w:val="00B86501"/>
    <w:rsid w:val="00B9382F"/>
    <w:rsid w:val="00B93C0D"/>
    <w:rsid w:val="00B94890"/>
    <w:rsid w:val="00B96F04"/>
    <w:rsid w:val="00B97FC8"/>
    <w:rsid w:val="00BA66B5"/>
    <w:rsid w:val="00BA71EF"/>
    <w:rsid w:val="00BB16A0"/>
    <w:rsid w:val="00BB2C8C"/>
    <w:rsid w:val="00BB63F2"/>
    <w:rsid w:val="00BC688D"/>
    <w:rsid w:val="00BD35A6"/>
    <w:rsid w:val="00BD6811"/>
    <w:rsid w:val="00BE0AD8"/>
    <w:rsid w:val="00BE3CBB"/>
    <w:rsid w:val="00BF03C4"/>
    <w:rsid w:val="00BF2B8B"/>
    <w:rsid w:val="00BF2CCC"/>
    <w:rsid w:val="00C04B22"/>
    <w:rsid w:val="00C1320B"/>
    <w:rsid w:val="00C15829"/>
    <w:rsid w:val="00C16D76"/>
    <w:rsid w:val="00C34017"/>
    <w:rsid w:val="00C4674C"/>
    <w:rsid w:val="00C5250F"/>
    <w:rsid w:val="00C52FDB"/>
    <w:rsid w:val="00C704CD"/>
    <w:rsid w:val="00CA19C1"/>
    <w:rsid w:val="00CA7B75"/>
    <w:rsid w:val="00CA7EE0"/>
    <w:rsid w:val="00CB77F6"/>
    <w:rsid w:val="00CD6032"/>
    <w:rsid w:val="00CE46A2"/>
    <w:rsid w:val="00CE4BA6"/>
    <w:rsid w:val="00D02755"/>
    <w:rsid w:val="00D10CD6"/>
    <w:rsid w:val="00D1377F"/>
    <w:rsid w:val="00D138D0"/>
    <w:rsid w:val="00D13C38"/>
    <w:rsid w:val="00D21BAA"/>
    <w:rsid w:val="00D2286E"/>
    <w:rsid w:val="00D30ED0"/>
    <w:rsid w:val="00D31BC4"/>
    <w:rsid w:val="00D326C8"/>
    <w:rsid w:val="00D411B9"/>
    <w:rsid w:val="00D41AF1"/>
    <w:rsid w:val="00D428FA"/>
    <w:rsid w:val="00D5326C"/>
    <w:rsid w:val="00D65198"/>
    <w:rsid w:val="00D73500"/>
    <w:rsid w:val="00D739C9"/>
    <w:rsid w:val="00D76BC9"/>
    <w:rsid w:val="00D8128D"/>
    <w:rsid w:val="00D81D32"/>
    <w:rsid w:val="00D91540"/>
    <w:rsid w:val="00D92BC3"/>
    <w:rsid w:val="00D970F9"/>
    <w:rsid w:val="00DA3BF2"/>
    <w:rsid w:val="00DA3D38"/>
    <w:rsid w:val="00DA4B4F"/>
    <w:rsid w:val="00DB2310"/>
    <w:rsid w:val="00DC34AA"/>
    <w:rsid w:val="00DC71DD"/>
    <w:rsid w:val="00DD0C00"/>
    <w:rsid w:val="00DD0DA1"/>
    <w:rsid w:val="00DD1863"/>
    <w:rsid w:val="00DD6E6A"/>
    <w:rsid w:val="00DF0896"/>
    <w:rsid w:val="00E05427"/>
    <w:rsid w:val="00E07794"/>
    <w:rsid w:val="00E15319"/>
    <w:rsid w:val="00E21574"/>
    <w:rsid w:val="00E35DA7"/>
    <w:rsid w:val="00E368AC"/>
    <w:rsid w:val="00E43328"/>
    <w:rsid w:val="00E46D45"/>
    <w:rsid w:val="00E47EE6"/>
    <w:rsid w:val="00E51370"/>
    <w:rsid w:val="00E54617"/>
    <w:rsid w:val="00E60008"/>
    <w:rsid w:val="00E67CE7"/>
    <w:rsid w:val="00E72A8D"/>
    <w:rsid w:val="00E7395B"/>
    <w:rsid w:val="00E806B7"/>
    <w:rsid w:val="00E91740"/>
    <w:rsid w:val="00EA2E83"/>
    <w:rsid w:val="00EC681A"/>
    <w:rsid w:val="00EC710A"/>
    <w:rsid w:val="00ED1741"/>
    <w:rsid w:val="00EE0309"/>
    <w:rsid w:val="00EE1BB3"/>
    <w:rsid w:val="00EF1E3C"/>
    <w:rsid w:val="00EF496B"/>
    <w:rsid w:val="00EF6E1E"/>
    <w:rsid w:val="00F01315"/>
    <w:rsid w:val="00F018FD"/>
    <w:rsid w:val="00F03073"/>
    <w:rsid w:val="00F07F81"/>
    <w:rsid w:val="00F12762"/>
    <w:rsid w:val="00F3346A"/>
    <w:rsid w:val="00F36786"/>
    <w:rsid w:val="00F405B0"/>
    <w:rsid w:val="00F419C7"/>
    <w:rsid w:val="00F437BE"/>
    <w:rsid w:val="00F47813"/>
    <w:rsid w:val="00F566B6"/>
    <w:rsid w:val="00F67E41"/>
    <w:rsid w:val="00F70081"/>
    <w:rsid w:val="00F756EC"/>
    <w:rsid w:val="00F766EB"/>
    <w:rsid w:val="00F80966"/>
    <w:rsid w:val="00F81760"/>
    <w:rsid w:val="00F822CF"/>
    <w:rsid w:val="00F8494E"/>
    <w:rsid w:val="00FA762D"/>
    <w:rsid w:val="00FC2146"/>
    <w:rsid w:val="00FC405F"/>
    <w:rsid w:val="00FD5D2E"/>
    <w:rsid w:val="00FD724A"/>
    <w:rsid w:val="00FE29FD"/>
    <w:rsid w:val="00FE5BF2"/>
    <w:rsid w:val="00FF04E4"/>
    <w:rsid w:val="00FF4D86"/>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641272829">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6D4F-002B-44FB-AEA0-E1F14E14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5</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403</cp:revision>
  <cp:lastPrinted>2015-09-08T15:58:00Z</cp:lastPrinted>
  <dcterms:created xsi:type="dcterms:W3CDTF">2014-06-23T14:37:00Z</dcterms:created>
  <dcterms:modified xsi:type="dcterms:W3CDTF">2015-09-08T16:22:00Z</dcterms:modified>
</cp:coreProperties>
</file>