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C1" w:rsidRDefault="00E07673" w:rsidP="00E07673">
      <w:r w:rsidRPr="007C03D6">
        <w:t>The York County Board of Commissioners, ex-officio the York County Board of Equalization, met</w:t>
      </w:r>
      <w:r>
        <w:t xml:space="preserve"> on </w:t>
      </w:r>
      <w:r w:rsidR="00902C38">
        <w:t>Monday November 2</w:t>
      </w:r>
      <w:r>
        <w:t xml:space="preserve">, 2015 </w:t>
      </w:r>
      <w:r w:rsidRPr="007C03D6">
        <w:t xml:space="preserve">at </w:t>
      </w:r>
      <w:r w:rsidR="00902C38">
        <w:t>8:30</w:t>
      </w:r>
      <w:r>
        <w:t xml:space="preserve"> a.m. </w:t>
      </w:r>
      <w:r w:rsidRPr="007C03D6">
        <w:t>as per notice in the York News Times on</w:t>
      </w:r>
      <w:r w:rsidR="009C6F54">
        <w:t xml:space="preserve"> </w:t>
      </w:r>
      <w:r w:rsidR="00902C38">
        <w:t>October 28</w:t>
      </w:r>
      <w:r>
        <w:t>, 201</w:t>
      </w:r>
      <w:r w:rsidR="00020B04">
        <w:t>5</w:t>
      </w:r>
      <w:r>
        <w:t>,</w:t>
      </w:r>
      <w:r w:rsidRPr="007C03D6">
        <w:t xml:space="preserve"> with</w:t>
      </w:r>
      <w:r>
        <w:t xml:space="preserve"> Chairman, Bill Bamesberger presiding with Kurt Bulgrin, Paul Buller, </w:t>
      </w:r>
      <w:r w:rsidR="00020B04">
        <w:t>Randy Obermier</w:t>
      </w:r>
      <w:r>
        <w:t xml:space="preserve"> and Jack Sikes.</w:t>
      </w:r>
    </w:p>
    <w:p w:rsidR="00E07673" w:rsidRDefault="00E07673" w:rsidP="00E07673">
      <w:r>
        <w:t xml:space="preserve">  </w:t>
      </w:r>
    </w:p>
    <w:p w:rsidR="00E07673" w:rsidRDefault="00E07673" w:rsidP="00E07673">
      <w:r w:rsidRPr="007C03D6">
        <w:t>The agenda of the meeting was posted on the bulletin board in the County Clerk’s office and a copy of the agenda was made available to each Commissioner.</w:t>
      </w:r>
    </w:p>
    <w:p w:rsidR="0004339B" w:rsidRDefault="0004339B" w:rsidP="00E07673"/>
    <w:p w:rsidR="00E07673" w:rsidRDefault="00E07673" w:rsidP="00E07673">
      <w:r>
        <w:t xml:space="preserve">Bamesberger </w:t>
      </w:r>
      <w:r w:rsidRPr="007C03D6">
        <w:t>announced that the open meetings law would be in effect and that a copy was posted outside the door and available on the table in the back of the room.  Proof of publication was also available.</w:t>
      </w:r>
    </w:p>
    <w:p w:rsidR="00E07673" w:rsidRDefault="00E07673" w:rsidP="00E07673"/>
    <w:p w:rsidR="00E07673" w:rsidRDefault="00E07673" w:rsidP="00E07673">
      <w:r>
        <w:t>Moved by</w:t>
      </w:r>
      <w:r w:rsidR="00EF68E3">
        <w:t xml:space="preserve"> Bulgrin</w:t>
      </w:r>
      <w:r>
        <w:t>, seconded by</w:t>
      </w:r>
      <w:r w:rsidR="00EF68E3">
        <w:t xml:space="preserve"> Buller</w:t>
      </w:r>
      <w:r w:rsidR="001D3FF4">
        <w:t>,</w:t>
      </w:r>
      <w:r>
        <w:t xml:space="preserve"> to approve the minutes of the</w:t>
      </w:r>
      <w:r w:rsidR="0071133D">
        <w:t xml:space="preserve"> </w:t>
      </w:r>
      <w:r w:rsidR="00902C38">
        <w:t>October 13</w:t>
      </w:r>
      <w:r>
        <w:t>, 201</w:t>
      </w:r>
      <w:r w:rsidR="00020B04">
        <w:t>5</w:t>
      </w:r>
      <w:r>
        <w:t>, Board of Equalization meeting as presented; roll call: yeas,</w:t>
      </w:r>
      <w:r w:rsidR="007047FA">
        <w:t xml:space="preserve"> </w:t>
      </w:r>
      <w:r w:rsidR="00EF68E3">
        <w:t>Bulgrin, Buller, Sikes, Obermier</w:t>
      </w:r>
      <w:r w:rsidR="006550F9">
        <w:t xml:space="preserve"> </w:t>
      </w:r>
      <w:r>
        <w:t>and Bamesberger; nays, none; motion carried.</w:t>
      </w:r>
    </w:p>
    <w:p w:rsidR="00E07673" w:rsidRDefault="00E07673" w:rsidP="00E07673"/>
    <w:p w:rsidR="00E07673" w:rsidRDefault="00E07673" w:rsidP="00E07673">
      <w:r>
        <w:t>Moved by</w:t>
      </w:r>
      <w:r w:rsidR="00EF68E3">
        <w:t xml:space="preserve"> Sikes</w:t>
      </w:r>
      <w:r>
        <w:t>, seconded by</w:t>
      </w:r>
      <w:r w:rsidR="001D3FF4">
        <w:t xml:space="preserve"> </w:t>
      </w:r>
      <w:r w:rsidR="00EF68E3">
        <w:t>Obermier</w:t>
      </w:r>
      <w:r w:rsidR="001D3FF4">
        <w:t xml:space="preserve">, </w:t>
      </w:r>
      <w:r>
        <w:t xml:space="preserve">to adopt the agenda for the York County Board of Equalization meeting for </w:t>
      </w:r>
      <w:r w:rsidR="00902C38">
        <w:t>Monday November 2</w:t>
      </w:r>
      <w:r>
        <w:t>, 2015; roll call: yeas,</w:t>
      </w:r>
      <w:r w:rsidR="00EF68E3">
        <w:t xml:space="preserve"> Sikes, Obermier, Buller, Bulgrin</w:t>
      </w:r>
      <w:r w:rsidR="009D1860">
        <w:t xml:space="preserve"> and </w:t>
      </w:r>
      <w:r w:rsidR="00902C38">
        <w:t>Bamesberger</w:t>
      </w:r>
      <w:r>
        <w:t>; nays, none; motion carried.</w:t>
      </w:r>
    </w:p>
    <w:p w:rsidR="00DE1C01" w:rsidRDefault="00DE1C01" w:rsidP="00E07673"/>
    <w:p w:rsidR="00DE1C01" w:rsidRDefault="00DE1C01" w:rsidP="00DE1C01">
      <w:pPr>
        <w:ind w:left="0"/>
      </w:pPr>
      <w:r>
        <w:t>Moved by</w:t>
      </w:r>
      <w:r w:rsidR="00EF68E3">
        <w:t xml:space="preserve"> Sikes</w:t>
      </w:r>
      <w:r>
        <w:t xml:space="preserve">, seconded by </w:t>
      </w:r>
      <w:r w:rsidR="00EF68E3">
        <w:t xml:space="preserve">Obermier, </w:t>
      </w:r>
      <w:r w:rsidR="008B6C52">
        <w:t>A</w:t>
      </w:r>
      <w:r w:rsidR="00146889">
        <w:t xml:space="preserve">mend Resolution #15-68 </w:t>
      </w:r>
      <w:r>
        <w:t xml:space="preserve">to correct the rounding error on the Heartland Community #96 Levy to 0.550733, </w:t>
      </w:r>
      <w:r w:rsidR="00146889">
        <w:t xml:space="preserve"> and to correct Village of Bradshaw budget that will change their levy to 0.806428, </w:t>
      </w:r>
      <w:r>
        <w:t>roll call; yeas,</w:t>
      </w:r>
      <w:r w:rsidR="00EF68E3">
        <w:t xml:space="preserve"> Sikes, Obermier, Buller, Bulgrin</w:t>
      </w:r>
      <w:r>
        <w:t xml:space="preserve"> and Bamesberger, nays none, motion carried.</w:t>
      </w:r>
    </w:p>
    <w:p w:rsidR="00EF68E3" w:rsidRDefault="00EF68E3" w:rsidP="00DE1C01">
      <w:pPr>
        <w:ind w:left="0"/>
      </w:pPr>
    </w:p>
    <w:p w:rsidR="00A318E3" w:rsidRDefault="00A318E3" w:rsidP="00A318E3">
      <w:pPr>
        <w:jc w:val="center"/>
        <w:rPr>
          <w:b/>
        </w:rPr>
      </w:pPr>
      <w:r w:rsidRPr="00C02BED">
        <w:rPr>
          <w:b/>
        </w:rPr>
        <w:t>RESOLUTION #1</w:t>
      </w:r>
      <w:r>
        <w:rPr>
          <w:b/>
        </w:rPr>
        <w:t>5-</w:t>
      </w:r>
      <w:r w:rsidR="00EF68E3">
        <w:rPr>
          <w:b/>
        </w:rPr>
        <w:t>68</w:t>
      </w:r>
    </w:p>
    <w:p w:rsidR="00A318E3" w:rsidRPr="00553535" w:rsidRDefault="00A318E3" w:rsidP="00A318E3">
      <w:pPr>
        <w:jc w:val="center"/>
        <w:rPr>
          <w:b/>
        </w:rPr>
      </w:pPr>
    </w:p>
    <w:p w:rsidR="00A318E3" w:rsidRPr="00553535" w:rsidRDefault="00A318E3" w:rsidP="00A318E3">
      <w:r w:rsidRPr="00553535">
        <w:rPr>
          <w:b/>
        </w:rPr>
        <w:t>WHEREAS</w:t>
      </w:r>
      <w:r w:rsidRPr="00553535">
        <w:t xml:space="preserve">, the York County Board of Commissioners met at their regular meeting on November 2, 2015 to discuss the corrections to Heartland Community #96 and Bradshaw Village levies. </w:t>
      </w:r>
    </w:p>
    <w:p w:rsidR="00A318E3" w:rsidRPr="00553535" w:rsidRDefault="00A318E3" w:rsidP="00A318E3"/>
    <w:p w:rsidR="00A318E3" w:rsidRPr="00553535" w:rsidRDefault="00A318E3" w:rsidP="00A318E3">
      <w:r w:rsidRPr="00553535">
        <w:rPr>
          <w:b/>
        </w:rPr>
        <w:t>WHEREAS</w:t>
      </w:r>
      <w:r w:rsidRPr="00553535">
        <w:t xml:space="preserve">, the Board of Commissioners is </w:t>
      </w:r>
      <w:r w:rsidRPr="00553535">
        <w:rPr>
          <w:b/>
        </w:rPr>
        <w:t>AMENDING</w:t>
      </w:r>
      <w:r w:rsidRPr="00553535">
        <w:t xml:space="preserve"> Resolution #15-68 to correct the rounding on the Heartland Community #96 and Bradshaw Village which the State Auditor found mistakes on their Property Taxes for Non-Bond Purposes.</w:t>
      </w:r>
    </w:p>
    <w:p w:rsidR="00A318E3" w:rsidRPr="00553535" w:rsidRDefault="00A318E3" w:rsidP="00A318E3"/>
    <w:p w:rsidR="00A318E3" w:rsidRPr="00553535" w:rsidRDefault="00A318E3" w:rsidP="00A318E3">
      <w:r w:rsidRPr="00553535">
        <w:t xml:space="preserve"> </w:t>
      </w:r>
      <w:r w:rsidRPr="00553535">
        <w:rPr>
          <w:b/>
        </w:rPr>
        <w:t>BE IT RESOLVED</w:t>
      </w:r>
      <w:r w:rsidRPr="00553535">
        <w:t xml:space="preserve">, that the Board has set the corrected levies of 0.806428 for the Bradshaw Village and 0.550733 for the Heartland Community #96. </w:t>
      </w:r>
    </w:p>
    <w:p w:rsidR="00A318E3" w:rsidRDefault="00A318E3" w:rsidP="00A318E3">
      <w:pPr>
        <w:jc w:val="center"/>
        <w:rPr>
          <w:b/>
        </w:rPr>
      </w:pPr>
    </w:p>
    <w:p w:rsidR="00A318E3" w:rsidRDefault="00A318E3" w:rsidP="00A318E3">
      <w:r>
        <w:rPr>
          <w:b/>
        </w:rPr>
        <w:t xml:space="preserve">WHEREAS, </w:t>
      </w:r>
      <w:r>
        <w:t>in accordance with the provisions of State Statute, governing budgets filed by all political subdivisions, it is the responsibility of the County Board of Equalization to determine the actual levy necessary to support a subdivision’s budget request.</w:t>
      </w:r>
    </w:p>
    <w:p w:rsidR="00A318E3" w:rsidRPr="009C538D" w:rsidRDefault="00A318E3" w:rsidP="00A318E3">
      <w:pPr>
        <w:rPr>
          <w:sz w:val="20"/>
          <w:szCs w:val="20"/>
        </w:rPr>
      </w:pPr>
    </w:p>
    <w:p w:rsidR="00A318E3" w:rsidRDefault="00A318E3" w:rsidP="00A318E3">
      <w:r>
        <w:rPr>
          <w:b/>
        </w:rPr>
        <w:t xml:space="preserve">WHEREAS, </w:t>
      </w:r>
      <w:r w:rsidRPr="00133021">
        <w:t>each subdivision budget has been reviewed by the County Board as to the use of all available revenue sources, proper computations, etc.</w:t>
      </w:r>
      <w:r>
        <w:t xml:space="preserve">  Accounting principles have been used and applied to the preparation of the final levies.  The levies have been set by the use of the final valuation as certified by the County Assessor.</w:t>
      </w:r>
    </w:p>
    <w:p w:rsidR="00A318E3" w:rsidRPr="009C538D" w:rsidRDefault="00A318E3" w:rsidP="00A318E3">
      <w:pPr>
        <w:rPr>
          <w:sz w:val="20"/>
          <w:szCs w:val="20"/>
        </w:rPr>
      </w:pPr>
    </w:p>
    <w:p w:rsidR="00A318E3" w:rsidRDefault="00A318E3" w:rsidP="00A318E3">
      <w:r>
        <w:rPr>
          <w:b/>
        </w:rPr>
        <w:t xml:space="preserve">NOW, THEREFORE, BE IT RESOLVED </w:t>
      </w:r>
      <w:r>
        <w:t>by the York County Board of Commissioners, ex-officio, the York County Board of Equalization, that the following levies be adopted:</w:t>
      </w:r>
    </w:p>
    <w:p w:rsidR="00A318E3" w:rsidRPr="009C538D" w:rsidRDefault="00A318E3" w:rsidP="00A318E3">
      <w:pPr>
        <w:rPr>
          <w:sz w:val="10"/>
          <w:szCs w:val="10"/>
        </w:rPr>
      </w:pPr>
    </w:p>
    <w:tbl>
      <w:tblPr>
        <w:tblW w:w="10272" w:type="dxa"/>
        <w:jc w:val="center"/>
        <w:tblInd w:w="96" w:type="dxa"/>
        <w:tblLook w:val="04A0"/>
      </w:tblPr>
      <w:tblGrid>
        <w:gridCol w:w="2172"/>
        <w:gridCol w:w="1996"/>
        <w:gridCol w:w="1440"/>
        <w:gridCol w:w="1440"/>
        <w:gridCol w:w="1418"/>
        <w:gridCol w:w="1806"/>
      </w:tblGrid>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cente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center"/>
              <w:rPr>
                <w:sz w:val="16"/>
                <w:szCs w:val="16"/>
              </w:rPr>
            </w:pPr>
            <w:r w:rsidRPr="00CF1F27">
              <w:rPr>
                <w:sz w:val="16"/>
                <w:szCs w:val="16"/>
              </w:rPr>
              <w:t>(A)</w:t>
            </w:r>
          </w:p>
        </w:tc>
        <w:tc>
          <w:tcPr>
            <w:tcW w:w="1440" w:type="dxa"/>
            <w:tcBorders>
              <w:top w:val="nil"/>
              <w:left w:val="nil"/>
              <w:bottom w:val="nil"/>
              <w:right w:val="nil"/>
            </w:tcBorders>
            <w:shd w:val="clear" w:color="auto" w:fill="auto"/>
            <w:noWrap/>
            <w:vAlign w:val="bottom"/>
            <w:hideMark/>
          </w:tcPr>
          <w:p w:rsidR="00A318E3" w:rsidRPr="00CF1F27" w:rsidRDefault="00A318E3" w:rsidP="00A202B8">
            <w:pPr>
              <w:jc w:val="center"/>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center"/>
              <w:rPr>
                <w:sz w:val="16"/>
                <w:szCs w:val="16"/>
              </w:rPr>
            </w:pPr>
            <w:r w:rsidRPr="00CF1F27">
              <w:rPr>
                <w:sz w:val="16"/>
                <w:szCs w:val="16"/>
              </w:rPr>
              <w:t>(B)</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center"/>
              <w:rPr>
                <w:sz w:val="16"/>
                <w:szCs w:val="16"/>
              </w:rPr>
            </w:pPr>
            <w:r w:rsidRPr="00CF1F27">
              <w:rPr>
                <w:sz w:val="16"/>
                <w:szCs w:val="16"/>
              </w:rPr>
              <w:t>( C )</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center"/>
              <w:rPr>
                <w:sz w:val="16"/>
                <w:szCs w:val="16"/>
              </w:rPr>
            </w:pPr>
            <w:r w:rsidRPr="00CF1F27">
              <w:rPr>
                <w:sz w:val="16"/>
                <w:szCs w:val="16"/>
              </w:rPr>
              <w:t>(D)</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cente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Fund(s)</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2015-2016</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84" w:hanging="6"/>
              <w:jc w:val="center"/>
              <w:rPr>
                <w:sz w:val="16"/>
                <w:szCs w:val="16"/>
              </w:rPr>
            </w:pPr>
            <w:r w:rsidRPr="00CF1F27">
              <w:rPr>
                <w:sz w:val="16"/>
                <w:szCs w:val="16"/>
              </w:rPr>
              <w:t>Subdivisions</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Valuation</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(List each Fund</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Personal and Real</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Tax</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cente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(As certified by</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of  Subdivision(s)</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Property Tax</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Generated</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 xml:space="preserve">Final </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cente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County Assessor)</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separately)</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Request</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(A x B) / 100</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Levy*</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ind w:left="84" w:hanging="6"/>
              <w:rPr>
                <w:b/>
                <w:bCs/>
                <w:sz w:val="16"/>
                <w:szCs w:val="16"/>
              </w:rPr>
            </w:pPr>
            <w:r w:rsidRPr="00CF1F27">
              <w:rPr>
                <w:b/>
                <w:bCs/>
                <w:sz w:val="16"/>
                <w:szCs w:val="16"/>
              </w:rPr>
              <w:t>York County General</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$4,983,600.91</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$4,983,603.98</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146739</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ind w:left="84" w:hanging="6"/>
              <w:rPr>
                <w:b/>
                <w:bCs/>
                <w:sz w:val="16"/>
                <w:szCs w:val="16"/>
              </w:rPr>
            </w:pPr>
            <w:r w:rsidRPr="00CF1F27">
              <w:rPr>
                <w:b/>
                <w:bCs/>
                <w:sz w:val="16"/>
                <w:szCs w:val="16"/>
              </w:rPr>
              <w:t>Employment Security</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$4,886.53</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$4,890.58</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000144</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84" w:hanging="6"/>
              <w:rPr>
                <w:b/>
                <w:bCs/>
                <w:sz w:val="16"/>
                <w:szCs w:val="16"/>
              </w:rPr>
            </w:pPr>
            <w:r w:rsidRPr="00CF1F27">
              <w:rPr>
                <w:b/>
                <w:bCs/>
                <w:sz w:val="16"/>
                <w:szCs w:val="16"/>
              </w:rPr>
              <w:t>Relief/Medical</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$14,641.27</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$14,637.78</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000431</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84" w:hanging="6"/>
              <w:rPr>
                <w:b/>
                <w:bCs/>
                <w:sz w:val="16"/>
                <w:szCs w:val="16"/>
              </w:rPr>
            </w:pPr>
            <w:r w:rsidRPr="00CF1F27">
              <w:rPr>
                <w:b/>
                <w:bCs/>
                <w:sz w:val="16"/>
                <w:szCs w:val="16"/>
              </w:rPr>
              <w:t>State Institutions</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 xml:space="preserve"> </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$29,095.96</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$29,105.75</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000857</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84" w:hanging="6"/>
              <w:rPr>
                <w:b/>
                <w:bCs/>
                <w:sz w:val="16"/>
                <w:szCs w:val="16"/>
              </w:rPr>
            </w:pPr>
            <w:r w:rsidRPr="00CF1F27">
              <w:rPr>
                <w:b/>
                <w:bCs/>
                <w:sz w:val="16"/>
                <w:szCs w:val="16"/>
              </w:rPr>
              <w:t>Debt Service</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$762,006.54</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$762,013.66</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022437</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84" w:hanging="6"/>
              <w:rPr>
                <w:b/>
                <w:bCs/>
                <w:sz w:val="16"/>
                <w:szCs w:val="16"/>
              </w:rPr>
            </w:pPr>
            <w:r w:rsidRPr="00CF1F27">
              <w:rPr>
                <w:b/>
                <w:bCs/>
                <w:sz w:val="16"/>
                <w:szCs w:val="16"/>
              </w:rPr>
              <w:t>Emergency Manager</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$15,558.93</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$15,554.76</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000458</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84" w:hanging="6"/>
              <w:rPr>
                <w:b/>
                <w:bCs/>
                <w:sz w:val="16"/>
                <w:szCs w:val="16"/>
              </w:rPr>
            </w:pPr>
            <w:r w:rsidRPr="00CF1F27">
              <w:rPr>
                <w:b/>
                <w:bCs/>
                <w:sz w:val="16"/>
                <w:szCs w:val="16"/>
              </w:rPr>
              <w:t>Ambulance</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$2,450,673,344.00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$253,013.21</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$253,007.52</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010324</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cente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$6,062,803.35</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$6,062,814.03</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181390</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cente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84" w:hanging="6"/>
              <w:rPr>
                <w:b/>
                <w:bCs/>
                <w:sz w:val="16"/>
                <w:szCs w:val="16"/>
              </w:rPr>
            </w:pPr>
            <w:r w:rsidRPr="00CF1F27">
              <w:rPr>
                <w:b/>
                <w:bCs/>
                <w:sz w:val="16"/>
                <w:szCs w:val="16"/>
              </w:rPr>
              <w:t>York County Ag Society</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$175,634.00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$175,619.41</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005171</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84" w:hanging="6"/>
              <w:rPr>
                <w:b/>
                <w:bCs/>
                <w:sz w:val="16"/>
                <w:szCs w:val="16"/>
              </w:rPr>
            </w:pPr>
            <w:r w:rsidRPr="00CF1F27">
              <w:rPr>
                <w:b/>
                <w:bCs/>
                <w:sz w:val="16"/>
                <w:szCs w:val="16"/>
              </w:rPr>
              <w:t>York County Historical Soc.</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$3,409.11</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$3,396.24</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000100</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84" w:hanging="6"/>
              <w:rPr>
                <w:b/>
                <w:bCs/>
                <w:sz w:val="16"/>
                <w:szCs w:val="16"/>
              </w:rPr>
            </w:pPr>
            <w:r w:rsidRPr="00CF1F27">
              <w:rPr>
                <w:b/>
                <w:bCs/>
                <w:sz w:val="16"/>
                <w:szCs w:val="16"/>
              </w:rPr>
              <w:t>Upper Big Blue NRD</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jc w:val="right"/>
              <w:rPr>
                <w:sz w:val="16"/>
                <w:szCs w:val="16"/>
              </w:rPr>
            </w:pPr>
            <w:r w:rsidRPr="00CF1F27">
              <w:rPr>
                <w:sz w:val="16"/>
                <w:szCs w:val="16"/>
              </w:rPr>
              <w:t>Adams</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$625,140,735.00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right"/>
              <w:rPr>
                <w:sz w:val="16"/>
                <w:szCs w:val="16"/>
              </w:rPr>
            </w:pPr>
            <w:r w:rsidRPr="00CF1F27">
              <w:rPr>
                <w:sz w:val="16"/>
                <w:szCs w:val="16"/>
              </w:rPr>
              <w:t>Butler</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$1,031,667,839.00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right"/>
              <w:rPr>
                <w:sz w:val="16"/>
                <w:szCs w:val="16"/>
              </w:rPr>
            </w:pPr>
            <w:r w:rsidRPr="00CF1F27">
              <w:rPr>
                <w:sz w:val="16"/>
                <w:szCs w:val="16"/>
              </w:rPr>
              <w:t>Clay</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$1,071,435,025.00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jc w:val="right"/>
              <w:rPr>
                <w:sz w:val="16"/>
                <w:szCs w:val="16"/>
              </w:rPr>
            </w:pPr>
            <w:r w:rsidRPr="00CF1F27">
              <w:rPr>
                <w:sz w:val="16"/>
                <w:szCs w:val="16"/>
              </w:rPr>
              <w:t>Fillmore</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$1,767,041,834.00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sz w:val="16"/>
                <w:szCs w:val="16"/>
              </w:rPr>
            </w:pPr>
            <w:r w:rsidRPr="00CF1F27">
              <w:rPr>
                <w:sz w:val="16"/>
                <w:szCs w:val="16"/>
              </w:rPr>
              <w:t>Hamilton</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$2,915,784,669.00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right"/>
              <w:rPr>
                <w:sz w:val="16"/>
                <w:szCs w:val="16"/>
              </w:rPr>
            </w:pPr>
            <w:r w:rsidRPr="00CF1F27">
              <w:rPr>
                <w:sz w:val="16"/>
                <w:szCs w:val="16"/>
              </w:rPr>
              <w:t>Polk</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$1,229,069,287.00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right"/>
              <w:rPr>
                <w:sz w:val="16"/>
                <w:szCs w:val="16"/>
              </w:rPr>
            </w:pPr>
            <w:r w:rsidRPr="00CF1F27">
              <w:rPr>
                <w:sz w:val="16"/>
                <w:szCs w:val="16"/>
              </w:rPr>
              <w:t>Saline</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$278,254,107.00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sz w:val="16"/>
                <w:szCs w:val="16"/>
              </w:rPr>
            </w:pPr>
            <w:r w:rsidRPr="00CF1F27">
              <w:rPr>
                <w:sz w:val="16"/>
                <w:szCs w:val="16"/>
              </w:rPr>
              <w:t>Seward</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$2,504,906,350.00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right"/>
              <w:rPr>
                <w:sz w:val="16"/>
                <w:szCs w:val="16"/>
              </w:rPr>
            </w:pPr>
            <w:r w:rsidRPr="00CF1F27">
              <w:rPr>
                <w:sz w:val="16"/>
                <w:szCs w:val="16"/>
              </w:rPr>
              <w:t>York</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84" w:hanging="6"/>
              <w:jc w:val="right"/>
              <w:rPr>
                <w:b/>
                <w:bCs/>
                <w:sz w:val="16"/>
                <w:szCs w:val="16"/>
              </w:rPr>
            </w:pPr>
            <w:r w:rsidRPr="00CF1F27">
              <w:rPr>
                <w:b/>
                <w:bCs/>
                <w:sz w:val="16"/>
                <w:szCs w:val="16"/>
              </w:rPr>
              <w:t xml:space="preserve">Total Valuation </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$14,819,536,687.00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$3,905,697.22</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$3,905,688.89</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026355</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right"/>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Benedict Village</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$8,666,057.00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$38,384.22</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$38,384.22</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442926</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Bradshaw Village</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$13,598,799.00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$61,</w:t>
            </w:r>
            <w:r>
              <w:rPr>
                <w:sz w:val="16"/>
                <w:szCs w:val="16"/>
              </w:rPr>
              <w:t>194.60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$61,</w:t>
            </w:r>
            <w:r>
              <w:rPr>
                <w:sz w:val="16"/>
                <w:szCs w:val="16"/>
              </w:rPr>
              <w:t>194.60</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450000</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$48,469.90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$48,469.93</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356428</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w:t>
            </w:r>
            <w:r>
              <w:rPr>
                <w:sz w:val="16"/>
                <w:szCs w:val="16"/>
              </w:rPr>
              <w:t>09,664.50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w:t>
            </w:r>
            <w:r>
              <w:rPr>
                <w:sz w:val="16"/>
                <w:szCs w:val="16"/>
              </w:rPr>
              <w:t>09,664.52</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806428</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Gresham Village</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$6,371,196.00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$31,855.98</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$31,855.98</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500000</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City of Henderson</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$48,803,135.00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$214,625.00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$214,624.96</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439777</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$214,625.00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$214,624.96</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439777</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$429,250.00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$429,249.93</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879554</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Lushton Village</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$2,011,334.00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$3,535.00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$3,535.00</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175754</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McCool Jct Village</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$16,377,728.00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$73,699.78</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$73,699.78</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450000</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b/>
                <w:bCs/>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$56,140.00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$56,140.07</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342783</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$129,839.78</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$129,839.84</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792783</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Thayer Village</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$2,511,519.00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$3,535.00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$3,534.99</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140751</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Waco Village</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$13,299,337.00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$52,350.78</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$52,350.85</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393635</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$16,912.50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$16,912.50</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127168</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$69,263.28</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$69,263.35</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520803</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City of York</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$479,622,560.00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$325,927.50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$325,927.51</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067955</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b/>
                <w:bCs/>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$587,676.08</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$587,676.73</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122529</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$913,603.58</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$913,604.24</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190484</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Benedict  Fire District</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$356,247,760.00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000000" w:fill="FFFFFF"/>
            <w:noWrap/>
            <w:vAlign w:val="bottom"/>
            <w:hideMark/>
          </w:tcPr>
          <w:p w:rsidR="00A318E3" w:rsidRPr="00CF1F27" w:rsidRDefault="00A318E3" w:rsidP="00145A09">
            <w:pPr>
              <w:ind w:left="236" w:hanging="34"/>
              <w:jc w:val="right"/>
              <w:rPr>
                <w:sz w:val="16"/>
                <w:szCs w:val="16"/>
              </w:rPr>
            </w:pPr>
            <w:r w:rsidRPr="00CF1F27">
              <w:rPr>
                <w:sz w:val="16"/>
                <w:szCs w:val="16"/>
              </w:rPr>
              <w:t>$34,011.00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$34,010.97</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009547</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b/>
                <w:bCs/>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Bond</w:t>
            </w:r>
          </w:p>
        </w:tc>
        <w:tc>
          <w:tcPr>
            <w:tcW w:w="1440" w:type="dxa"/>
            <w:tcBorders>
              <w:top w:val="nil"/>
              <w:left w:val="nil"/>
              <w:bottom w:val="nil"/>
              <w:right w:val="nil"/>
            </w:tcBorders>
            <w:shd w:val="clear" w:color="000000" w:fill="FFFFFF"/>
            <w:noWrap/>
            <w:vAlign w:val="bottom"/>
            <w:hideMark/>
          </w:tcPr>
          <w:p w:rsidR="00A318E3" w:rsidRPr="00CF1F27" w:rsidRDefault="00A318E3" w:rsidP="00145A09">
            <w:pPr>
              <w:ind w:left="236" w:hanging="34"/>
              <w:jc w:val="right"/>
              <w:rPr>
                <w:sz w:val="16"/>
                <w:szCs w:val="16"/>
              </w:rPr>
            </w:pPr>
            <w:r w:rsidRPr="00CF1F27">
              <w:rPr>
                <w:sz w:val="16"/>
                <w:szCs w:val="16"/>
              </w:rPr>
              <w:t>$39,954.00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$39,953.19</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011215</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b/>
                <w:bCs/>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r w:rsidRPr="00CF1F27">
              <w:rPr>
                <w:b/>
                <w:bCs/>
                <w:sz w:val="16"/>
                <w:szCs w:val="16"/>
              </w:rPr>
              <w:t>Total</w:t>
            </w:r>
          </w:p>
        </w:tc>
        <w:tc>
          <w:tcPr>
            <w:tcW w:w="1440" w:type="dxa"/>
            <w:tcBorders>
              <w:top w:val="nil"/>
              <w:left w:val="nil"/>
              <w:bottom w:val="nil"/>
              <w:right w:val="nil"/>
            </w:tcBorders>
            <w:shd w:val="clear" w:color="000000" w:fill="FFFFFF"/>
            <w:noWrap/>
            <w:vAlign w:val="bottom"/>
            <w:hideMark/>
          </w:tcPr>
          <w:p w:rsidR="00A318E3" w:rsidRPr="00CF1F27" w:rsidRDefault="00A318E3" w:rsidP="00145A09">
            <w:pPr>
              <w:ind w:left="236" w:hanging="34"/>
              <w:jc w:val="right"/>
              <w:rPr>
                <w:sz w:val="16"/>
                <w:szCs w:val="16"/>
              </w:rPr>
            </w:pPr>
            <w:r w:rsidRPr="00CF1F27">
              <w:rPr>
                <w:sz w:val="16"/>
                <w:szCs w:val="16"/>
              </w:rPr>
              <w:t>$73,965.00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$73,964.16</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020762</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Bradshaw Fire District</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$445,901,956.00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$34,758.42</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$34,758.06</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007795</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Sinking</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$10,943.97</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$10,942.43</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002454</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$150,000.00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$150,001.42</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033640</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$195,702.39</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$195,701.91</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043889</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Gresham Fire District</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sz w:val="16"/>
                <w:szCs w:val="16"/>
              </w:rPr>
            </w:pPr>
            <w:r w:rsidRPr="00CF1F27">
              <w:rPr>
                <w:sz w:val="16"/>
                <w:szCs w:val="16"/>
              </w:rPr>
              <w:t>Butler Co</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$30,858,752.00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sz w:val="16"/>
                <w:szCs w:val="16"/>
              </w:rPr>
            </w:pPr>
            <w:r w:rsidRPr="00CF1F27">
              <w:rPr>
                <w:sz w:val="16"/>
                <w:szCs w:val="16"/>
              </w:rPr>
              <w:t>Polk Co</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$93,341,891.00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color w:val="000000"/>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sz w:val="16"/>
                <w:szCs w:val="16"/>
              </w:rPr>
            </w:pPr>
            <w:r w:rsidRPr="00CF1F27">
              <w:rPr>
                <w:sz w:val="16"/>
                <w:szCs w:val="16"/>
              </w:rPr>
              <w:t>Seward Co</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$69,313,097.00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$23,012.53</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$23,012.65</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006326</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sz w:val="16"/>
                <w:szCs w:val="16"/>
              </w:rPr>
            </w:pPr>
            <w:r w:rsidRPr="00CF1F27">
              <w:rPr>
                <w:sz w:val="16"/>
                <w:szCs w:val="16"/>
              </w:rPr>
              <w:t>York Co</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$170,265,097.00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Sinking</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$53,769.60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$53,770.15</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014781</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right"/>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$37,281.25</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$37,280.06</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010248</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b/>
                <w:bCs/>
                <w:sz w:val="16"/>
                <w:szCs w:val="16"/>
              </w:rPr>
            </w:pPr>
            <w:r w:rsidRPr="00CF1F27">
              <w:rPr>
                <w:b/>
                <w:bCs/>
                <w:sz w:val="16"/>
                <w:szCs w:val="16"/>
              </w:rPr>
              <w:t>Total Valuation</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$363,778,837.00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$114,063.38</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$114,062.85</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031355</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Henderson Fire District</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sz w:val="16"/>
                <w:szCs w:val="16"/>
              </w:rPr>
            </w:pPr>
            <w:r w:rsidRPr="00CF1F27">
              <w:rPr>
                <w:sz w:val="16"/>
                <w:szCs w:val="16"/>
              </w:rPr>
              <w:t>Hamilton Co</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$174,375,154.00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sz w:val="16"/>
                <w:szCs w:val="16"/>
              </w:rPr>
            </w:pPr>
            <w:r w:rsidRPr="00CF1F27">
              <w:rPr>
                <w:sz w:val="16"/>
                <w:szCs w:val="16"/>
              </w:rPr>
              <w:t>York Co</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$246,872,704.00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$31,506.00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$31,505.13</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007479</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right"/>
              <w:rPr>
                <w:b/>
                <w:bCs/>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$22,000.00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$22,001.78</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005223</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b/>
                <w:bCs/>
                <w:sz w:val="16"/>
                <w:szCs w:val="16"/>
              </w:rPr>
            </w:pPr>
            <w:r w:rsidRPr="00CF1F27">
              <w:rPr>
                <w:b/>
                <w:bCs/>
                <w:sz w:val="16"/>
                <w:szCs w:val="16"/>
              </w:rPr>
              <w:t>Total Valuation</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$421,247,858.00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$53,506.00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$53,506.90</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012702</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84" w:hanging="6"/>
              <w:rPr>
                <w:b/>
                <w:bCs/>
                <w:sz w:val="16"/>
                <w:szCs w:val="16"/>
              </w:rPr>
            </w:pPr>
            <w:r w:rsidRPr="00CF1F27">
              <w:rPr>
                <w:b/>
                <w:bCs/>
                <w:sz w:val="16"/>
                <w:szCs w:val="16"/>
              </w:rPr>
              <w:t>McCool Jct Fire District</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$348,205,005.00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$37,852.46</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$37,853.37</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010871</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b/>
                <w:bCs/>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Sinking</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$90,051.03</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$90,049.30</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025861</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b/>
                <w:bCs/>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$35,367.50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$35,367.18</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010157</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b/>
                <w:bCs/>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$163,270.99</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$163,269.84</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046889</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Waco Fire District</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$454,590,591.00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$59,300.00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$59,301.34</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013045</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York Fire District</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$501,910,882.00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$116,260.00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$116,257.62</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023163</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0" w:hanging="6"/>
              <w:rPr>
                <w:b/>
                <w:bCs/>
                <w:sz w:val="16"/>
                <w:szCs w:val="16"/>
              </w:rPr>
            </w:pPr>
            <w:r w:rsidRPr="00CF1F27">
              <w:rPr>
                <w:b/>
                <w:bCs/>
                <w:sz w:val="16"/>
                <w:szCs w:val="16"/>
              </w:rPr>
              <w:t>Heartland Community #96</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sz w:val="16"/>
                <w:szCs w:val="16"/>
              </w:rPr>
            </w:pPr>
            <w:r w:rsidRPr="00CF1F27">
              <w:rPr>
                <w:sz w:val="16"/>
                <w:szCs w:val="16"/>
              </w:rPr>
              <w:t>Fillmore Co</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$974,245.00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$4,252,169.65</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$4,252,172.17</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516872</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sz w:val="16"/>
                <w:szCs w:val="16"/>
              </w:rPr>
            </w:pPr>
            <w:r w:rsidRPr="00CF1F27">
              <w:rPr>
                <w:sz w:val="16"/>
                <w:szCs w:val="16"/>
              </w:rPr>
              <w:t>Hamilton Co</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$184,766,620.00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Special Bldg</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$69,191.92</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$69,195.12</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008411</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sz w:val="16"/>
                <w:szCs w:val="16"/>
              </w:rPr>
            </w:pPr>
            <w:r w:rsidRPr="00CF1F27">
              <w:rPr>
                <w:sz w:val="16"/>
                <w:szCs w:val="16"/>
              </w:rPr>
              <w:t>York Co</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$636,933,253.00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Capital Purpose</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$209,368.68</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$209,370.56</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025450</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b/>
                <w:bCs/>
                <w:sz w:val="16"/>
                <w:szCs w:val="16"/>
              </w:rPr>
            </w:pPr>
            <w:r w:rsidRPr="00CF1F27">
              <w:rPr>
                <w:b/>
                <w:bCs/>
                <w:sz w:val="16"/>
                <w:szCs w:val="16"/>
              </w:rPr>
              <w:t>Total Valuation</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$822,674,118.00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Total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$4,530,730.25</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$4,530,729.62</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550733</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rPr>
                <w:b/>
                <w:bCs/>
                <w:sz w:val="16"/>
                <w:szCs w:val="16"/>
              </w:rPr>
            </w:pPr>
            <w:r w:rsidRPr="00CF1F27">
              <w:rPr>
                <w:b/>
                <w:bCs/>
                <w:sz w:val="16"/>
                <w:szCs w:val="16"/>
              </w:rPr>
              <w:t>McCool Jct #83</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sz w:val="16"/>
                <w:szCs w:val="16"/>
              </w:rPr>
            </w:pPr>
            <w:r w:rsidRPr="00CF1F27">
              <w:rPr>
                <w:sz w:val="16"/>
                <w:szCs w:val="16"/>
              </w:rPr>
              <w:t>Fillmore Co</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$2,799,496.00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$2,222,222.20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$2,222,223.82</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625805</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sz w:val="16"/>
                <w:szCs w:val="16"/>
              </w:rPr>
            </w:pPr>
            <w:r w:rsidRPr="00CF1F27">
              <w:rPr>
                <w:sz w:val="16"/>
                <w:szCs w:val="16"/>
              </w:rPr>
              <w:t>York Co</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$352,298,948.00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$50,505.05</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$50,505.65</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014223</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jc w:val="right"/>
              <w:rPr>
                <w:b/>
                <w:bCs/>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Special Bldg</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$202,020.20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$202,019.06</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056891</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jc w:val="right"/>
              <w:rPr>
                <w:b/>
                <w:bCs/>
                <w:sz w:val="16"/>
                <w:szCs w:val="16"/>
              </w:rPr>
            </w:pPr>
            <w:r w:rsidRPr="00CF1F27">
              <w:rPr>
                <w:b/>
                <w:bCs/>
                <w:sz w:val="16"/>
                <w:szCs w:val="16"/>
              </w:rPr>
              <w:t>Total Valuation</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$355,098,444.00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r w:rsidRPr="00CF1F27">
              <w:rPr>
                <w:b/>
                <w:bCs/>
                <w:sz w:val="16"/>
                <w:szCs w:val="16"/>
              </w:rPr>
              <w:t xml:space="preserve">Total </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$2,474,747.45</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$2,474,748.52</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696919</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hanging="6"/>
              <w:rPr>
                <w:b/>
                <w:bCs/>
                <w:sz w:val="16"/>
                <w:szCs w:val="16"/>
              </w:rPr>
            </w:pPr>
            <w:r w:rsidRPr="00CF1F27">
              <w:rPr>
                <w:b/>
                <w:bCs/>
                <w:sz w:val="16"/>
                <w:szCs w:val="16"/>
              </w:rPr>
              <w:t>York School #12</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$1,083,287,610.00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$10,978,787.77</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$10,978,784.11</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w:t>
            </w:r>
            <w:r>
              <w:rPr>
                <w:sz w:val="16"/>
                <w:szCs w:val="16"/>
              </w:rPr>
              <w:t>1.013469</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$1,545,454.53</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$1,545,450.60</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142663</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Special Bldg</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$394,949.49</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$394,945.00</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036458</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Capital Purpose</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$303,030.30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$303,028.04</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027973</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$13,222,222.09</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$13,222,218.58</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$1</w:t>
            </w:r>
            <w:r>
              <w:rPr>
                <w:sz w:val="16"/>
                <w:szCs w:val="16"/>
              </w:rPr>
              <w:t>.220564</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Plainfield Cemetery</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$196,927,405.00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$4,000.00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$3,999.60</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002031</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b/>
                <w:bCs/>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Thayer Cemetery</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$164,026,974.00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$4,503.74</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$4,504.18</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002746</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Vernon Cemetery</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left="166" w:hanging="12"/>
              <w:jc w:val="right"/>
              <w:rPr>
                <w:sz w:val="16"/>
                <w:szCs w:val="16"/>
              </w:rPr>
            </w:pPr>
            <w:r w:rsidRPr="00CF1F27">
              <w:rPr>
                <w:sz w:val="16"/>
                <w:szCs w:val="16"/>
              </w:rPr>
              <w:t>$167,487,594.00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$1,911.49</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$1,911.03</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001141</w:t>
            </w: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A202B8">
            <w:pPr>
              <w:rPr>
                <w:sz w:val="16"/>
                <w:szCs w:val="16"/>
              </w:rPr>
            </w:pPr>
          </w:p>
        </w:tc>
        <w:tc>
          <w:tcPr>
            <w:tcW w:w="1996" w:type="dxa"/>
            <w:tcBorders>
              <w:top w:val="nil"/>
              <w:left w:val="nil"/>
              <w:bottom w:val="nil"/>
              <w:right w:val="nil"/>
            </w:tcBorders>
            <w:shd w:val="clear" w:color="auto" w:fill="auto"/>
            <w:noWrap/>
            <w:vAlign w:val="bottom"/>
            <w:hideMark/>
          </w:tcPr>
          <w:p w:rsidR="00A318E3" w:rsidRPr="00CF1F27" w:rsidRDefault="00A318E3" w:rsidP="00A202B8">
            <w:pPr>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p>
        </w:tc>
      </w:tr>
      <w:tr w:rsidR="00A318E3" w:rsidRPr="00CF1F27" w:rsidTr="00145A09">
        <w:trPr>
          <w:trHeight w:val="288"/>
          <w:jc w:val="center"/>
        </w:trPr>
        <w:tc>
          <w:tcPr>
            <w:tcW w:w="2172" w:type="dxa"/>
            <w:tcBorders>
              <w:top w:val="nil"/>
              <w:left w:val="nil"/>
              <w:bottom w:val="nil"/>
              <w:right w:val="nil"/>
            </w:tcBorders>
            <w:shd w:val="clear" w:color="auto" w:fill="auto"/>
            <w:noWrap/>
            <w:vAlign w:val="bottom"/>
            <w:hideMark/>
          </w:tcPr>
          <w:p w:rsidR="00A318E3" w:rsidRPr="00CF1F27" w:rsidRDefault="00A318E3" w:rsidP="00145A09">
            <w:pPr>
              <w:ind w:left="174" w:hanging="6"/>
              <w:rPr>
                <w:b/>
                <w:bCs/>
                <w:sz w:val="16"/>
                <w:szCs w:val="16"/>
              </w:rPr>
            </w:pPr>
            <w:r w:rsidRPr="00CF1F27">
              <w:rPr>
                <w:b/>
                <w:bCs/>
                <w:sz w:val="16"/>
                <w:szCs w:val="16"/>
              </w:rPr>
              <w:t>Waco Cemetery</w:t>
            </w:r>
          </w:p>
        </w:tc>
        <w:tc>
          <w:tcPr>
            <w:tcW w:w="1996" w:type="dxa"/>
            <w:tcBorders>
              <w:top w:val="nil"/>
              <w:left w:val="nil"/>
              <w:bottom w:val="nil"/>
              <w:right w:val="nil"/>
            </w:tcBorders>
            <w:shd w:val="clear" w:color="auto" w:fill="auto"/>
            <w:noWrap/>
            <w:vAlign w:val="bottom"/>
            <w:hideMark/>
          </w:tcPr>
          <w:p w:rsidR="00A318E3" w:rsidRPr="00CF1F27" w:rsidRDefault="00A318E3" w:rsidP="00145A09">
            <w:pPr>
              <w:ind w:hanging="20"/>
              <w:jc w:val="right"/>
              <w:rPr>
                <w:sz w:val="16"/>
                <w:szCs w:val="16"/>
              </w:rPr>
            </w:pPr>
            <w:r w:rsidRPr="00CF1F27">
              <w:rPr>
                <w:sz w:val="16"/>
                <w:szCs w:val="16"/>
              </w:rPr>
              <w:t>$293,144,266.00</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103" w:firstLine="13"/>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$7,351.00</w:t>
            </w:r>
          </w:p>
        </w:tc>
        <w:tc>
          <w:tcPr>
            <w:tcW w:w="1418" w:type="dxa"/>
            <w:tcBorders>
              <w:top w:val="nil"/>
              <w:left w:val="nil"/>
              <w:bottom w:val="nil"/>
              <w:right w:val="nil"/>
            </w:tcBorders>
            <w:shd w:val="clear" w:color="auto" w:fill="auto"/>
            <w:noWrap/>
            <w:vAlign w:val="bottom"/>
            <w:hideMark/>
          </w:tcPr>
          <w:p w:rsidR="00A318E3" w:rsidRPr="00CF1F27" w:rsidRDefault="00A318E3" w:rsidP="00145A09">
            <w:pPr>
              <w:ind w:left="236" w:hanging="34"/>
              <w:jc w:val="right"/>
              <w:rPr>
                <w:sz w:val="16"/>
                <w:szCs w:val="16"/>
              </w:rPr>
            </w:pPr>
            <w:r w:rsidRPr="00CF1F27">
              <w:rPr>
                <w:sz w:val="16"/>
                <w:szCs w:val="16"/>
              </w:rPr>
              <w:t>$7,352.06</w:t>
            </w:r>
          </w:p>
        </w:tc>
        <w:tc>
          <w:tcPr>
            <w:tcW w:w="1806" w:type="dxa"/>
            <w:tcBorders>
              <w:top w:val="nil"/>
              <w:left w:val="nil"/>
              <w:bottom w:val="nil"/>
              <w:right w:val="nil"/>
            </w:tcBorders>
            <w:shd w:val="clear" w:color="auto" w:fill="auto"/>
            <w:noWrap/>
            <w:vAlign w:val="bottom"/>
            <w:hideMark/>
          </w:tcPr>
          <w:p w:rsidR="00A318E3" w:rsidRPr="00CF1F27" w:rsidRDefault="00A318E3" w:rsidP="00145A09">
            <w:pPr>
              <w:ind w:left="78" w:hanging="12"/>
              <w:jc w:val="right"/>
              <w:rPr>
                <w:sz w:val="16"/>
                <w:szCs w:val="16"/>
              </w:rPr>
            </w:pPr>
            <w:r w:rsidRPr="00CF1F27">
              <w:rPr>
                <w:sz w:val="16"/>
                <w:szCs w:val="16"/>
              </w:rPr>
              <w:t>$0.</w:t>
            </w:r>
            <w:r>
              <w:rPr>
                <w:sz w:val="16"/>
                <w:szCs w:val="16"/>
              </w:rPr>
              <w:t>002508</w:t>
            </w:r>
          </w:p>
        </w:tc>
      </w:tr>
    </w:tbl>
    <w:p w:rsidR="00A318E3" w:rsidRDefault="00A318E3" w:rsidP="00A318E3"/>
    <w:p w:rsidR="00A36D6C" w:rsidRDefault="00A318E3" w:rsidP="00A36D6C">
      <w:r>
        <w:t>Dated this 2nd day of November, 2015.</w:t>
      </w:r>
    </w:p>
    <w:p w:rsidR="00E07673" w:rsidRDefault="00E07673" w:rsidP="00E07673">
      <w:pPr>
        <w:ind w:left="0"/>
      </w:pPr>
    </w:p>
    <w:p w:rsidR="00E07673" w:rsidRPr="00553FE0" w:rsidRDefault="00960043" w:rsidP="00E07673">
      <w:pPr>
        <w:ind w:left="0"/>
      </w:pPr>
      <w:r>
        <w:t>T</w:t>
      </w:r>
      <w:r w:rsidR="00E07673" w:rsidRPr="00553FE0">
        <w:t>he</w:t>
      </w:r>
      <w:r>
        <w:t xml:space="preserve"> Board of Equalization</w:t>
      </w:r>
      <w:r w:rsidR="00E07673" w:rsidRPr="00553FE0">
        <w:t xml:space="preserve"> meeting adjourned at </w:t>
      </w:r>
      <w:r w:rsidR="00EF68E3">
        <w:t>8:34</w:t>
      </w:r>
      <w:r w:rsidR="007047FA">
        <w:t xml:space="preserve"> </w:t>
      </w:r>
      <w:r w:rsidR="009E7B60">
        <w:t>a</w:t>
      </w:r>
      <w:r w:rsidR="009E7B60" w:rsidRPr="00553FE0">
        <w:t>.m.</w:t>
      </w:r>
      <w:r w:rsidR="009E7B60">
        <w:t>.</w:t>
      </w:r>
    </w:p>
    <w:p w:rsidR="00E07673" w:rsidRPr="00553FE0" w:rsidRDefault="00E07673" w:rsidP="00E07673">
      <w:pPr>
        <w:ind w:left="0"/>
      </w:pPr>
    </w:p>
    <w:p w:rsidR="00E07673" w:rsidRPr="00553FE0" w:rsidRDefault="00E07673" w:rsidP="00E0767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E07673" w:rsidRPr="00553FE0" w:rsidRDefault="00E07673" w:rsidP="00E07673">
      <w:pPr>
        <w:ind w:left="0"/>
        <w:outlineLvl w:val="0"/>
      </w:pPr>
      <w:r>
        <w:t>William H. Bamesberger</w:t>
      </w:r>
      <w:r w:rsidR="000D569B">
        <w:t>, Chairman</w:t>
      </w:r>
      <w:r w:rsidR="008A076E">
        <w:tab/>
      </w:r>
      <w:r w:rsidR="008A076E">
        <w:tab/>
      </w:r>
      <w:r w:rsidR="008A076E">
        <w:tab/>
      </w:r>
      <w:r w:rsidR="008A076E">
        <w:tab/>
      </w:r>
      <w:r>
        <w:t>Kelly Turner</w:t>
      </w:r>
      <w:r w:rsidRPr="00553FE0">
        <w:t>,</w:t>
      </w:r>
      <w:r>
        <w:t xml:space="preserve"> </w:t>
      </w:r>
      <w:r w:rsidRPr="00553FE0">
        <w:t>County Clerk</w:t>
      </w:r>
      <w:r w:rsidRPr="00553FE0">
        <w:tab/>
      </w:r>
    </w:p>
    <w:p w:rsidR="00E07673" w:rsidRPr="00553FE0" w:rsidRDefault="00E07673" w:rsidP="00E0767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2B22C1" w:rsidRDefault="002B22C1"/>
    <w:p w:rsidR="000828C4" w:rsidRDefault="000828C4"/>
    <w:sectPr w:rsidR="000828C4" w:rsidSect="00AD62D3">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07673"/>
    <w:rsid w:val="000079E9"/>
    <w:rsid w:val="000164B7"/>
    <w:rsid w:val="00020B04"/>
    <w:rsid w:val="00024391"/>
    <w:rsid w:val="0004339B"/>
    <w:rsid w:val="0005505B"/>
    <w:rsid w:val="000828C4"/>
    <w:rsid w:val="000A277F"/>
    <w:rsid w:val="000D569B"/>
    <w:rsid w:val="00101E15"/>
    <w:rsid w:val="00145A09"/>
    <w:rsid w:val="00146343"/>
    <w:rsid w:val="00146889"/>
    <w:rsid w:val="001D3FF4"/>
    <w:rsid w:val="0022581F"/>
    <w:rsid w:val="0023553A"/>
    <w:rsid w:val="00243D58"/>
    <w:rsid w:val="0025039F"/>
    <w:rsid w:val="0025233D"/>
    <w:rsid w:val="00256A97"/>
    <w:rsid w:val="00261D96"/>
    <w:rsid w:val="00263005"/>
    <w:rsid w:val="002A24F5"/>
    <w:rsid w:val="002A5597"/>
    <w:rsid w:val="002B22C1"/>
    <w:rsid w:val="002C7034"/>
    <w:rsid w:val="002F0123"/>
    <w:rsid w:val="00302A59"/>
    <w:rsid w:val="003106BD"/>
    <w:rsid w:val="00312B74"/>
    <w:rsid w:val="0032520D"/>
    <w:rsid w:val="00332EA3"/>
    <w:rsid w:val="0034013A"/>
    <w:rsid w:val="0036532F"/>
    <w:rsid w:val="003F48DE"/>
    <w:rsid w:val="004155E4"/>
    <w:rsid w:val="004724A0"/>
    <w:rsid w:val="004A546C"/>
    <w:rsid w:val="004A6FC1"/>
    <w:rsid w:val="004B4DAE"/>
    <w:rsid w:val="00546EE9"/>
    <w:rsid w:val="00575B97"/>
    <w:rsid w:val="00596F66"/>
    <w:rsid w:val="005A7736"/>
    <w:rsid w:val="005B5A57"/>
    <w:rsid w:val="005B7CCA"/>
    <w:rsid w:val="005D53F3"/>
    <w:rsid w:val="005E44BA"/>
    <w:rsid w:val="005F0C93"/>
    <w:rsid w:val="006068A2"/>
    <w:rsid w:val="006130D9"/>
    <w:rsid w:val="00615461"/>
    <w:rsid w:val="00630C0C"/>
    <w:rsid w:val="00636DC8"/>
    <w:rsid w:val="00637632"/>
    <w:rsid w:val="0065257C"/>
    <w:rsid w:val="006550F9"/>
    <w:rsid w:val="006662FE"/>
    <w:rsid w:val="006865E9"/>
    <w:rsid w:val="006D484C"/>
    <w:rsid w:val="006D65DC"/>
    <w:rsid w:val="006F0E58"/>
    <w:rsid w:val="007047FA"/>
    <w:rsid w:val="0071133D"/>
    <w:rsid w:val="007140A8"/>
    <w:rsid w:val="00725A24"/>
    <w:rsid w:val="00737A49"/>
    <w:rsid w:val="00761697"/>
    <w:rsid w:val="00773FB0"/>
    <w:rsid w:val="007B5547"/>
    <w:rsid w:val="008066B2"/>
    <w:rsid w:val="00834845"/>
    <w:rsid w:val="00836F6F"/>
    <w:rsid w:val="008746AB"/>
    <w:rsid w:val="00876C34"/>
    <w:rsid w:val="008A076E"/>
    <w:rsid w:val="008B1D19"/>
    <w:rsid w:val="008B6C52"/>
    <w:rsid w:val="00902C38"/>
    <w:rsid w:val="00953096"/>
    <w:rsid w:val="00956AE3"/>
    <w:rsid w:val="00960043"/>
    <w:rsid w:val="00990555"/>
    <w:rsid w:val="009B079F"/>
    <w:rsid w:val="009C5A58"/>
    <w:rsid w:val="009C6F54"/>
    <w:rsid w:val="009D1860"/>
    <w:rsid w:val="009D2997"/>
    <w:rsid w:val="009D3741"/>
    <w:rsid w:val="009D43EA"/>
    <w:rsid w:val="009D6B56"/>
    <w:rsid w:val="009E78E1"/>
    <w:rsid w:val="009E7B60"/>
    <w:rsid w:val="00A202B8"/>
    <w:rsid w:val="00A318E3"/>
    <w:rsid w:val="00A3506A"/>
    <w:rsid w:val="00A36D6C"/>
    <w:rsid w:val="00A70D2C"/>
    <w:rsid w:val="00A71891"/>
    <w:rsid w:val="00A75FAA"/>
    <w:rsid w:val="00A81B17"/>
    <w:rsid w:val="00A8382F"/>
    <w:rsid w:val="00A974BA"/>
    <w:rsid w:val="00AC7E76"/>
    <w:rsid w:val="00AD62D3"/>
    <w:rsid w:val="00B0620B"/>
    <w:rsid w:val="00B20F8D"/>
    <w:rsid w:val="00B31E52"/>
    <w:rsid w:val="00B8658D"/>
    <w:rsid w:val="00B9509F"/>
    <w:rsid w:val="00C31993"/>
    <w:rsid w:val="00C60074"/>
    <w:rsid w:val="00CE7AF4"/>
    <w:rsid w:val="00CF5908"/>
    <w:rsid w:val="00D64475"/>
    <w:rsid w:val="00DA4D36"/>
    <w:rsid w:val="00DB6A91"/>
    <w:rsid w:val="00DD0DA1"/>
    <w:rsid w:val="00DE1C01"/>
    <w:rsid w:val="00E07673"/>
    <w:rsid w:val="00E335BE"/>
    <w:rsid w:val="00E34F65"/>
    <w:rsid w:val="00E370F1"/>
    <w:rsid w:val="00E47AF1"/>
    <w:rsid w:val="00E65C61"/>
    <w:rsid w:val="00E72693"/>
    <w:rsid w:val="00E90039"/>
    <w:rsid w:val="00EE15A9"/>
    <w:rsid w:val="00EF68E3"/>
    <w:rsid w:val="00F0424C"/>
    <w:rsid w:val="00F17A39"/>
    <w:rsid w:val="00F56215"/>
    <w:rsid w:val="00F7307E"/>
    <w:rsid w:val="00F81760"/>
    <w:rsid w:val="00F95D06"/>
    <w:rsid w:val="00FB0D18"/>
    <w:rsid w:val="00FB1245"/>
    <w:rsid w:val="00FB3FD7"/>
    <w:rsid w:val="00FC006E"/>
    <w:rsid w:val="00FF2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73"/>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07673"/>
    <w:pPr>
      <w:widowControl/>
      <w:tabs>
        <w:tab w:val="right" w:pos="3690"/>
      </w:tabs>
      <w:autoSpaceDE/>
      <w:autoSpaceDN/>
      <w:adjustRightInd/>
      <w:ind w:left="-720" w:right="-1530" w:firstLine="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586B5-D686-4749-9DAF-18907C41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120</cp:revision>
  <cp:lastPrinted>2015-11-02T15:06:00Z</cp:lastPrinted>
  <dcterms:created xsi:type="dcterms:W3CDTF">2015-01-30T15:06:00Z</dcterms:created>
  <dcterms:modified xsi:type="dcterms:W3CDTF">2015-11-02T15:07:00Z</dcterms:modified>
</cp:coreProperties>
</file>